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3F1B3">
      <w:pPr>
        <w:spacing w:before="40" w:line="360" w:lineRule="auto"/>
        <w:jc w:val="center"/>
        <w:rPr>
          <w:rFonts w:asciiTheme="minorEastAsia" w:hAnsiTheme="minorEastAsia" w:eastAsiaTheme="minorEastAsia"/>
          <w:b/>
          <w:bCs/>
          <w:sz w:val="21"/>
          <w:szCs w:val="21"/>
        </w:rPr>
      </w:pPr>
      <w:r>
        <w:rPr>
          <w:rFonts w:hint="eastAsia" w:cs="黑体" w:asciiTheme="minorEastAsia" w:hAnsiTheme="minorEastAsia" w:eastAsiaTheme="minorEastAsia"/>
          <w:b/>
          <w:bCs/>
          <w:sz w:val="21"/>
          <w:szCs w:val="21"/>
          <w:lang w:val="en-US"/>
        </w:rPr>
        <w:t>卓耀润裕6号私募证券投资基金</w:t>
      </w:r>
      <w:r>
        <w:rPr>
          <w:rFonts w:asciiTheme="minorEastAsia" w:hAnsiTheme="minorEastAsia" w:eastAsiaTheme="minorEastAsia"/>
          <w:b/>
          <w:bCs/>
          <w:sz w:val="21"/>
          <w:szCs w:val="21"/>
        </w:rPr>
        <w:t>私募基金产品要素表</w:t>
      </w:r>
    </w:p>
    <w:p w14:paraId="5B37B33A">
      <w:pPr>
        <w:pStyle w:val="4"/>
        <w:tabs>
          <w:tab w:val="left" w:pos="6855"/>
        </w:tabs>
        <w:spacing w:before="150" w:line="360" w:lineRule="auto"/>
        <w:jc w:val="center"/>
        <w:rPr>
          <w:rFonts w:asciiTheme="minorEastAsia" w:hAnsiTheme="minorEastAsia" w:eastAsiaTheme="minorEastAsia"/>
          <w:sz w:val="21"/>
          <w:szCs w:val="21"/>
        </w:rPr>
      </w:pPr>
    </w:p>
    <w:p w14:paraId="492319BA">
      <w:pPr>
        <w:pStyle w:val="4"/>
        <w:spacing w:before="167" w:after="22" w:line="360" w:lineRule="auto"/>
        <w:ind w:left="0"/>
        <w:rPr>
          <w:rFonts w:asciiTheme="minorEastAsia" w:hAnsiTheme="minorEastAsia" w:eastAsiaTheme="minorEastAsia"/>
          <w:b/>
          <w:bCs/>
          <w:spacing w:val="-10"/>
          <w:sz w:val="21"/>
          <w:szCs w:val="21"/>
        </w:rPr>
      </w:pPr>
      <w:r>
        <w:rPr>
          <w:rFonts w:asciiTheme="minorEastAsia" w:hAnsiTheme="minorEastAsia" w:eastAsiaTheme="minorEastAsia"/>
          <w:b/>
          <w:bCs/>
          <w:spacing w:val="-10"/>
          <w:sz w:val="21"/>
          <w:szCs w:val="21"/>
        </w:rPr>
        <w:t>第一部分 基本信息</w:t>
      </w:r>
    </w:p>
    <w:tbl>
      <w:tblPr>
        <w:tblStyle w:val="21"/>
        <w:tblW w:w="475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2283"/>
        <w:gridCol w:w="6999"/>
      </w:tblGrid>
      <w:tr w14:paraId="1784B16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1230" w:type="pct"/>
            <w:vAlign w:val="center"/>
          </w:tcPr>
          <w:p w14:paraId="6784DC63">
            <w:pPr>
              <w:pStyle w:val="20"/>
              <w:spacing w:line="360" w:lineRule="auto"/>
              <w:ind w:left="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产品名称</w:t>
            </w:r>
          </w:p>
        </w:tc>
        <w:tc>
          <w:tcPr>
            <w:tcW w:w="3770" w:type="pct"/>
            <w:vAlign w:val="center"/>
          </w:tcPr>
          <w:p w14:paraId="5E01EBB2">
            <w:pPr>
              <w:pStyle w:val="20"/>
              <w:spacing w:line="360" w:lineRule="auto"/>
              <w:jc w:val="center"/>
              <w:rPr>
                <w:rFonts w:asciiTheme="minorEastAsia" w:hAnsiTheme="minorEastAsia" w:eastAsiaTheme="minorEastAsia"/>
                <w:sz w:val="21"/>
                <w:szCs w:val="21"/>
                <w:lang w:val="en-US" w:eastAsia="en-US"/>
              </w:rPr>
            </w:pPr>
            <w:r>
              <w:rPr>
                <w:rFonts w:hint="eastAsia" w:asciiTheme="minorEastAsia" w:hAnsiTheme="minorEastAsia" w:eastAsiaTheme="minorEastAsia"/>
                <w:sz w:val="21"/>
                <w:szCs w:val="21"/>
                <w:lang w:val="en-US" w:eastAsia="en-US"/>
              </w:rPr>
              <w:t>卓耀润裕6号私募证券投资基金</w:t>
            </w:r>
          </w:p>
        </w:tc>
      </w:tr>
      <w:tr w14:paraId="4A9E5EB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30" w:type="pct"/>
            <w:vAlign w:val="center"/>
          </w:tcPr>
          <w:p w14:paraId="10808A83">
            <w:pPr>
              <w:pStyle w:val="20"/>
              <w:spacing w:line="360" w:lineRule="auto"/>
              <w:ind w:left="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产品代码</w:t>
            </w:r>
          </w:p>
        </w:tc>
        <w:tc>
          <w:tcPr>
            <w:tcW w:w="3770" w:type="pct"/>
            <w:vAlign w:val="center"/>
          </w:tcPr>
          <w:p w14:paraId="6611F971">
            <w:pPr>
              <w:pStyle w:val="20"/>
              <w:spacing w:line="360" w:lineRule="auto"/>
              <w:ind w:left="0"/>
              <w:jc w:val="center"/>
              <w:rPr>
                <w:rFonts w:asciiTheme="minorEastAsia" w:hAnsiTheme="minorEastAsia" w:eastAsiaTheme="minorEastAsia"/>
                <w:sz w:val="21"/>
                <w:szCs w:val="21"/>
                <w:lang w:val="en-US" w:eastAsia="en-US"/>
              </w:rPr>
            </w:pPr>
            <w:r>
              <w:rPr>
                <w:rFonts w:hint="eastAsia" w:asciiTheme="minorEastAsia" w:hAnsiTheme="minorEastAsia" w:eastAsiaTheme="minorEastAsia"/>
                <w:sz w:val="21"/>
                <w:szCs w:val="21"/>
                <w:lang w:val="en-US" w:eastAsia="en-US"/>
              </w:rPr>
              <w:t>SXK139</w:t>
            </w:r>
          </w:p>
        </w:tc>
      </w:tr>
      <w:tr w14:paraId="72FEFA5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30" w:type="pct"/>
            <w:vAlign w:val="center"/>
          </w:tcPr>
          <w:p w14:paraId="23B6F745">
            <w:pPr>
              <w:pStyle w:val="20"/>
              <w:spacing w:line="360" w:lineRule="auto"/>
              <w:ind w:left="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管理人名称</w:t>
            </w:r>
          </w:p>
        </w:tc>
        <w:tc>
          <w:tcPr>
            <w:tcW w:w="3770" w:type="pct"/>
          </w:tcPr>
          <w:p w14:paraId="4120DBDF">
            <w:pPr>
              <w:pStyle w:val="20"/>
              <w:spacing w:line="360" w:lineRule="auto"/>
              <w:ind w:left="0"/>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val="en-US" w:eastAsia="en-US"/>
              </w:rPr>
              <w:t>山东卓耀私募基金管理有限公司</w:t>
            </w:r>
          </w:p>
        </w:tc>
      </w:tr>
      <w:tr w14:paraId="113E6BC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30" w:type="pct"/>
            <w:vAlign w:val="center"/>
          </w:tcPr>
          <w:p w14:paraId="22D5B3F0">
            <w:pPr>
              <w:pStyle w:val="20"/>
              <w:spacing w:line="360" w:lineRule="auto"/>
              <w:ind w:left="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基金托管人</w:t>
            </w:r>
          </w:p>
        </w:tc>
        <w:tc>
          <w:tcPr>
            <w:tcW w:w="3770" w:type="pct"/>
          </w:tcPr>
          <w:p w14:paraId="67BC1063">
            <w:pPr>
              <w:pStyle w:val="20"/>
              <w:spacing w:line="360" w:lineRule="auto"/>
              <w:ind w:left="0"/>
              <w:jc w:val="center"/>
              <w:rPr>
                <w:rFonts w:asciiTheme="minorEastAsia" w:hAnsiTheme="minorEastAsia" w:eastAsiaTheme="minorEastAsia"/>
                <w:sz w:val="21"/>
                <w:szCs w:val="21"/>
                <w:lang w:val="en-US" w:eastAsia="en-US"/>
              </w:rPr>
            </w:pPr>
            <w:r>
              <w:rPr>
                <w:rFonts w:hint="eastAsia" w:asciiTheme="minorEastAsia" w:hAnsiTheme="minorEastAsia" w:eastAsiaTheme="minorEastAsia"/>
                <w:sz w:val="21"/>
                <w:szCs w:val="21"/>
                <w:lang w:val="en-US" w:eastAsia="en-US"/>
              </w:rPr>
              <w:t>国泰君安证券股份有限公司</w:t>
            </w:r>
          </w:p>
        </w:tc>
      </w:tr>
      <w:tr w14:paraId="22F27BF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30" w:type="pct"/>
            <w:vAlign w:val="center"/>
          </w:tcPr>
          <w:p w14:paraId="6BD28C0A">
            <w:pPr>
              <w:pStyle w:val="20"/>
              <w:spacing w:line="360" w:lineRule="auto"/>
              <w:ind w:left="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运营服务机构</w:t>
            </w:r>
          </w:p>
        </w:tc>
        <w:tc>
          <w:tcPr>
            <w:tcW w:w="3770" w:type="pct"/>
          </w:tcPr>
          <w:p w14:paraId="772820A7">
            <w:pPr>
              <w:pStyle w:val="20"/>
              <w:spacing w:line="360" w:lineRule="auto"/>
              <w:ind w:left="0"/>
              <w:jc w:val="center"/>
              <w:rPr>
                <w:rFonts w:asciiTheme="minorEastAsia" w:hAnsiTheme="minorEastAsia" w:eastAsiaTheme="minorEastAsia"/>
                <w:sz w:val="21"/>
                <w:szCs w:val="21"/>
                <w:lang w:val="en-US" w:eastAsia="en-US"/>
              </w:rPr>
            </w:pPr>
            <w:r>
              <w:rPr>
                <w:rFonts w:hint="eastAsia" w:asciiTheme="minorEastAsia" w:hAnsiTheme="minorEastAsia" w:eastAsiaTheme="minorEastAsia"/>
                <w:sz w:val="21"/>
                <w:szCs w:val="21"/>
                <w:lang w:val="en-US" w:eastAsia="en-US"/>
              </w:rPr>
              <w:t>国泰君安证券股份有限公司</w:t>
            </w:r>
          </w:p>
        </w:tc>
      </w:tr>
      <w:tr w14:paraId="432123C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30" w:type="pct"/>
            <w:vAlign w:val="center"/>
          </w:tcPr>
          <w:p w14:paraId="21665B21">
            <w:pPr>
              <w:pStyle w:val="20"/>
              <w:spacing w:line="360" w:lineRule="auto"/>
              <w:ind w:left="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代销机构</w:t>
            </w:r>
            <w:r>
              <w:rPr>
                <w:rFonts w:hint="eastAsia" w:asciiTheme="minorEastAsia" w:hAnsiTheme="minorEastAsia" w:eastAsiaTheme="minorEastAsia"/>
                <w:sz w:val="21"/>
                <w:szCs w:val="21"/>
                <w:lang w:eastAsia="en-US"/>
              </w:rPr>
              <w:t>（如有）</w:t>
            </w:r>
          </w:p>
        </w:tc>
        <w:tc>
          <w:tcPr>
            <w:tcW w:w="3770" w:type="pct"/>
          </w:tcPr>
          <w:p w14:paraId="686ECB27">
            <w:pPr>
              <w:pStyle w:val="20"/>
              <w:spacing w:line="360" w:lineRule="auto"/>
              <w:ind w:left="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val="en-US" w:eastAsia="en-US"/>
              </w:rPr>
              <w:t>深圳市前海排排网基金销售有限责任公司</w:t>
            </w:r>
          </w:p>
        </w:tc>
      </w:tr>
      <w:tr w14:paraId="38F4639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30" w:type="pct"/>
            <w:vAlign w:val="center"/>
          </w:tcPr>
          <w:p w14:paraId="6ED9654C">
            <w:pPr>
              <w:pStyle w:val="20"/>
              <w:spacing w:line="360" w:lineRule="auto"/>
              <w:ind w:left="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投资顾问</w:t>
            </w:r>
            <w:r>
              <w:rPr>
                <w:rFonts w:hint="eastAsia" w:asciiTheme="minorEastAsia" w:hAnsiTheme="minorEastAsia" w:eastAsiaTheme="minorEastAsia"/>
                <w:sz w:val="21"/>
                <w:szCs w:val="21"/>
                <w:lang w:eastAsia="en-US"/>
              </w:rPr>
              <w:t>（如有）</w:t>
            </w:r>
          </w:p>
        </w:tc>
        <w:tc>
          <w:tcPr>
            <w:tcW w:w="3770" w:type="pct"/>
          </w:tcPr>
          <w:p w14:paraId="400FD9CA">
            <w:pPr>
              <w:pStyle w:val="20"/>
              <w:spacing w:before="105" w:line="360" w:lineRule="auto"/>
              <w:ind w:left="0"/>
              <w:jc w:val="center"/>
              <w:rPr>
                <w:rFonts w:asciiTheme="minorEastAsia" w:hAnsiTheme="minorEastAsia" w:eastAsiaTheme="minorEastAsia"/>
                <w:sz w:val="21"/>
                <w:szCs w:val="21"/>
                <w:lang w:val="en-US" w:eastAsia="en-US"/>
              </w:rPr>
            </w:pPr>
            <w:r>
              <w:rPr>
                <w:rFonts w:hint="eastAsia" w:asciiTheme="minorEastAsia" w:hAnsiTheme="minorEastAsia" w:eastAsiaTheme="minorEastAsia"/>
                <w:sz w:val="21"/>
                <w:szCs w:val="21"/>
                <w:lang w:eastAsia="en-US"/>
              </w:rPr>
              <w:t>/</w:t>
            </w:r>
          </w:p>
        </w:tc>
      </w:tr>
      <w:tr w14:paraId="667521D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30" w:type="pct"/>
            <w:vAlign w:val="center"/>
          </w:tcPr>
          <w:p w14:paraId="722CF4A7">
            <w:pPr>
              <w:pStyle w:val="20"/>
              <w:spacing w:line="360" w:lineRule="auto"/>
              <w:ind w:left="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存续期限</w:t>
            </w:r>
          </w:p>
        </w:tc>
        <w:tc>
          <w:tcPr>
            <w:tcW w:w="3770" w:type="pct"/>
          </w:tcPr>
          <w:p w14:paraId="14627961">
            <w:pPr>
              <w:pStyle w:val="20"/>
              <w:spacing w:line="360" w:lineRule="auto"/>
              <w:ind w:left="0"/>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15年</w:t>
            </w:r>
          </w:p>
        </w:tc>
      </w:tr>
      <w:tr w14:paraId="4D8CA5F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30" w:type="pct"/>
            <w:vAlign w:val="center"/>
          </w:tcPr>
          <w:p w14:paraId="290C770D">
            <w:pPr>
              <w:pStyle w:val="20"/>
              <w:spacing w:line="360" w:lineRule="auto"/>
              <w:ind w:left="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产品结构</w:t>
            </w:r>
          </w:p>
        </w:tc>
        <w:tc>
          <w:tcPr>
            <w:tcW w:w="3770" w:type="pct"/>
          </w:tcPr>
          <w:p w14:paraId="7F76B81B">
            <w:pPr>
              <w:pStyle w:val="20"/>
              <w:spacing w:line="360" w:lineRule="auto"/>
              <w:ind w:left="0"/>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无分级</w:t>
            </w:r>
          </w:p>
        </w:tc>
      </w:tr>
      <w:tr w14:paraId="1912BEF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30" w:type="pct"/>
            <w:vAlign w:val="center"/>
          </w:tcPr>
          <w:p w14:paraId="61E900F4">
            <w:pPr>
              <w:pStyle w:val="20"/>
              <w:spacing w:line="360" w:lineRule="auto"/>
              <w:ind w:left="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开放日</w:t>
            </w:r>
          </w:p>
        </w:tc>
        <w:tc>
          <w:tcPr>
            <w:tcW w:w="3770" w:type="pct"/>
          </w:tcPr>
          <w:p w14:paraId="587B23F3">
            <w:pPr>
              <w:pStyle w:val="20"/>
              <w:spacing w:line="360" w:lineRule="auto"/>
              <w:ind w:left="0"/>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基金成立之后每自然周二，如遇非交易日，则顺延至下一个交易日。</w:t>
            </w:r>
          </w:p>
        </w:tc>
      </w:tr>
      <w:tr w14:paraId="4641328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30" w:type="pct"/>
            <w:vAlign w:val="center"/>
          </w:tcPr>
          <w:p w14:paraId="2CC87A20">
            <w:pPr>
              <w:pStyle w:val="20"/>
              <w:spacing w:line="360" w:lineRule="auto"/>
              <w:ind w:left="0"/>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基金</w:t>
            </w:r>
            <w:r>
              <w:rPr>
                <w:rFonts w:asciiTheme="minorEastAsia" w:hAnsiTheme="minorEastAsia" w:eastAsiaTheme="minorEastAsia"/>
                <w:sz w:val="21"/>
                <w:szCs w:val="21"/>
                <w:lang w:eastAsia="en-US"/>
              </w:rPr>
              <w:t>封闭期</w:t>
            </w:r>
          </w:p>
        </w:tc>
        <w:tc>
          <w:tcPr>
            <w:tcW w:w="3770" w:type="pct"/>
          </w:tcPr>
          <w:p w14:paraId="06554B89">
            <w:pPr>
              <w:pStyle w:val="20"/>
              <w:spacing w:line="360" w:lineRule="auto"/>
              <w:ind w:left="0"/>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不设置</w:t>
            </w:r>
          </w:p>
        </w:tc>
      </w:tr>
      <w:tr w14:paraId="081DD66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30" w:type="pct"/>
            <w:vAlign w:val="center"/>
          </w:tcPr>
          <w:p w14:paraId="2EA26A89">
            <w:pPr>
              <w:pStyle w:val="20"/>
              <w:spacing w:line="360" w:lineRule="auto"/>
              <w:ind w:left="0"/>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份额</w:t>
            </w:r>
            <w:r>
              <w:rPr>
                <w:rFonts w:asciiTheme="minorEastAsia" w:hAnsiTheme="minorEastAsia" w:eastAsiaTheme="minorEastAsia"/>
                <w:sz w:val="21"/>
                <w:szCs w:val="21"/>
                <w:lang w:eastAsia="en-US"/>
              </w:rPr>
              <w:t>锁定期</w:t>
            </w:r>
          </w:p>
        </w:tc>
        <w:tc>
          <w:tcPr>
            <w:tcW w:w="3770" w:type="pct"/>
          </w:tcPr>
          <w:p w14:paraId="4EE5E5AD">
            <w:pPr>
              <w:pStyle w:val="20"/>
              <w:spacing w:line="360" w:lineRule="auto"/>
              <w:ind w:left="0"/>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不设置</w:t>
            </w:r>
          </w:p>
        </w:tc>
      </w:tr>
      <w:tr w14:paraId="54462C7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30" w:type="pct"/>
            <w:vAlign w:val="center"/>
          </w:tcPr>
          <w:p w14:paraId="7EED0C2B">
            <w:pPr>
              <w:pStyle w:val="20"/>
              <w:spacing w:line="360" w:lineRule="auto"/>
              <w:ind w:left="0"/>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临时开放日</w:t>
            </w:r>
          </w:p>
        </w:tc>
        <w:tc>
          <w:tcPr>
            <w:tcW w:w="3770" w:type="pct"/>
          </w:tcPr>
          <w:p w14:paraId="6D6BFBB4">
            <w:pPr>
              <w:pStyle w:val="20"/>
              <w:spacing w:line="360" w:lineRule="auto"/>
              <w:ind w:left="0"/>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除本合同另有约定外，私募基金管理人在下列情形下可根据基金运作需求增设临时开放日，具体以私募基金管理人通知为准：</w:t>
            </w:r>
          </w:p>
          <w:p w14:paraId="6E79B3DA">
            <w:pPr>
              <w:pStyle w:val="20"/>
              <w:spacing w:line="360" w:lineRule="auto"/>
              <w:ind w:left="0"/>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1、本合同发生变更，私募基金管理人为保障份额持有人利益或为本基金运作需要，认为有必要临时开放的；</w:t>
            </w:r>
          </w:p>
          <w:p w14:paraId="71049430">
            <w:pPr>
              <w:pStyle w:val="20"/>
              <w:spacing w:line="360" w:lineRule="auto"/>
              <w:ind w:left="0"/>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2、私募基金管理人根据基金投资者申请或本基金的实际运作情况，在对全体基金份额持有人利益无实质不利影响的前提下，认为有必要设置临时开放日的；</w:t>
            </w:r>
          </w:p>
          <w:p w14:paraId="41B3AE48">
            <w:pPr>
              <w:pStyle w:val="20"/>
              <w:spacing w:line="360" w:lineRule="auto"/>
              <w:ind w:left="0"/>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3、法律法规规定和本合同约定的其他情形。</w:t>
            </w:r>
          </w:p>
          <w:p w14:paraId="6FF7FF9F">
            <w:pPr>
              <w:pStyle w:val="20"/>
              <w:spacing w:line="360" w:lineRule="auto"/>
              <w:ind w:left="0"/>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临时开放日仅允许赎回。临时开放日可能存在计提业绩报酬的情况（如涉及）。因法律法规、金融机构监管有关规则调整、本基金合同变更、本基金展期等原因设置的临时开放日，基金份额持有人不受本合同中关于基金赎回的期限限制，具体赎回规则以私募基金管理人通知为准。</w:t>
            </w:r>
          </w:p>
          <w:p w14:paraId="31139052">
            <w:pPr>
              <w:pStyle w:val="20"/>
              <w:spacing w:line="360" w:lineRule="auto"/>
              <w:ind w:left="0"/>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除非本合同另有约定，私募基金管理人有权自行决定是否在上述情形下设置临时开放日。私募基金管理人决定增设临时开放日的，应当提前发函通知私募基金托管人，并提前与运营服务机构确认临时开放的可行性。私募基金托管人、运营服务机构对于临时开放日的设置是否满足上述情形不负监督义务。</w:t>
            </w:r>
          </w:p>
        </w:tc>
      </w:tr>
      <w:tr w14:paraId="71A336D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30" w:type="pct"/>
            <w:vAlign w:val="center"/>
          </w:tcPr>
          <w:p w14:paraId="2E06F7E2">
            <w:pPr>
              <w:pStyle w:val="20"/>
              <w:spacing w:line="360" w:lineRule="auto"/>
              <w:ind w:left="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回访确认</w:t>
            </w:r>
          </w:p>
        </w:tc>
        <w:tc>
          <w:tcPr>
            <w:tcW w:w="3770" w:type="pct"/>
          </w:tcPr>
          <w:p w14:paraId="28F28908">
            <w:pPr>
              <w:pStyle w:val="20"/>
              <w:spacing w:line="360" w:lineRule="auto"/>
              <w:ind w:left="0"/>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1）本基金通过私募基金管理人直接募集的，暂不设置募集机构的回访确认制度，与基金业协会合同指引规定不一致，该不一致可能给基金投资者带来一定的风险。在本基金存续期内，如基金业协会正式要求私募基金的募集机构实施《私募投资基金募集行为管理办法》第三十一条规定的回访制度的，则募集机构应当根据《私募投资基金募集行为管理办法》的规定对届时新参与本基金的投资者实施回访制度。在此情况下，私募基金管理人有权根据回访制度的实施需要而变更本合同项下的相关条款，但应提前通知基金投资者，对基金投资者履行告知义务。私募基金管理人进一步说明，除非届时中国基金业协会要求回访制度追溯适用，否则届时实施的回访制度不适用于实施回访制度前已参与本基金的投资者。</w:t>
            </w:r>
          </w:p>
          <w:p w14:paraId="632C70F8">
            <w:pPr>
              <w:pStyle w:val="20"/>
              <w:spacing w:line="360" w:lineRule="auto"/>
              <w:ind w:left="0"/>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（2）本基金通过代理销售机构募集的（如有），代理销售机构是否适用回访确认制度以代理销售机构规则为准。</w:t>
            </w:r>
          </w:p>
        </w:tc>
      </w:tr>
      <w:tr w14:paraId="0C674CC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30" w:type="pct"/>
          </w:tcPr>
          <w:p w14:paraId="13B6B27C">
            <w:pPr>
              <w:pStyle w:val="20"/>
              <w:spacing w:line="360" w:lineRule="auto"/>
              <w:ind w:left="0"/>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最低参与金额</w:t>
            </w:r>
          </w:p>
        </w:tc>
        <w:tc>
          <w:tcPr>
            <w:tcW w:w="3770" w:type="pct"/>
          </w:tcPr>
          <w:p w14:paraId="25FB7E8F">
            <w:pPr>
              <w:pStyle w:val="20"/>
              <w:spacing w:line="360" w:lineRule="auto"/>
              <w:ind w:left="0"/>
              <w:jc w:val="center"/>
              <w:rPr>
                <w:rFonts w:asciiTheme="minorEastAsia" w:hAnsiTheme="minorEastAsia" w:eastAsiaTheme="minorEastAsia"/>
                <w:w w:val="66"/>
                <w:sz w:val="21"/>
                <w:szCs w:val="21"/>
                <w:lang w:eastAsia="en-US"/>
              </w:rPr>
            </w:pPr>
            <w:r>
              <w:rPr>
                <w:rFonts w:asciiTheme="minorEastAsia" w:hAnsiTheme="minorEastAsia" w:eastAsiaTheme="minorEastAsia"/>
                <w:w w:val="66"/>
                <w:sz w:val="21"/>
                <w:szCs w:val="21"/>
                <w:lang w:eastAsia="en-US"/>
              </w:rPr>
              <w:t>1,000,000.00元</w:t>
            </w:r>
          </w:p>
        </w:tc>
      </w:tr>
      <w:tr w14:paraId="113CB55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30" w:type="pct"/>
          </w:tcPr>
          <w:p w14:paraId="1F391C9D">
            <w:pPr>
              <w:pStyle w:val="20"/>
              <w:spacing w:line="360" w:lineRule="auto"/>
              <w:ind w:left="0"/>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追加投资金额</w:t>
            </w:r>
          </w:p>
        </w:tc>
        <w:tc>
          <w:tcPr>
            <w:tcW w:w="3770" w:type="pct"/>
          </w:tcPr>
          <w:p w14:paraId="44141E08">
            <w:pPr>
              <w:pStyle w:val="20"/>
              <w:spacing w:line="360" w:lineRule="auto"/>
              <w:ind w:left="0"/>
              <w:jc w:val="center"/>
              <w:rPr>
                <w:rFonts w:hint="default" w:asciiTheme="minorEastAsia" w:hAnsiTheme="minorEastAsia" w:eastAsiaTheme="minorEastAsia"/>
                <w:w w:val="66"/>
                <w:sz w:val="21"/>
                <w:szCs w:val="21"/>
                <w:lang w:val="en-US" w:eastAsia="zh-CN"/>
              </w:rPr>
            </w:pPr>
            <w:r>
              <w:rPr>
                <w:rFonts w:hint="eastAsia" w:asciiTheme="minorEastAsia" w:hAnsiTheme="minorEastAsia" w:eastAsiaTheme="minorEastAsia"/>
                <w:w w:val="66"/>
                <w:sz w:val="21"/>
                <w:szCs w:val="21"/>
                <w:lang w:val="en-US" w:eastAsia="zh-CN"/>
              </w:rPr>
              <w:t>10000.00元</w:t>
            </w:r>
          </w:p>
        </w:tc>
      </w:tr>
      <w:tr w14:paraId="5531231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30" w:type="pct"/>
            <w:vAlign w:val="center"/>
          </w:tcPr>
          <w:p w14:paraId="419F1BEA">
            <w:pPr>
              <w:pStyle w:val="20"/>
              <w:spacing w:line="360" w:lineRule="auto"/>
              <w:ind w:left="0"/>
              <w:jc w:val="center"/>
              <w:rPr>
                <w:rFonts w:asciiTheme="minorEastAsia" w:hAnsiTheme="minorEastAsia" w:eastAsiaTheme="minorEastAsia"/>
                <w:sz w:val="21"/>
                <w:szCs w:val="21"/>
                <w:lang w:eastAsia="en-US"/>
              </w:rPr>
            </w:pPr>
            <w:r>
              <w:rPr>
                <w:rFonts w:hint="eastAsia" w:cs="Times New Roman" w:asciiTheme="minorEastAsia" w:hAnsiTheme="minorEastAsia" w:eastAsiaTheme="minorEastAsia"/>
                <w:sz w:val="21"/>
                <w:szCs w:val="21"/>
                <w:lang w:eastAsia="en-US"/>
              </w:rPr>
              <w:t>估值基准日</w:t>
            </w:r>
          </w:p>
        </w:tc>
        <w:tc>
          <w:tcPr>
            <w:tcW w:w="3770" w:type="pct"/>
          </w:tcPr>
          <w:p w14:paraId="43795B86">
            <w:pPr>
              <w:pStyle w:val="20"/>
              <w:spacing w:line="360" w:lineRule="auto"/>
              <w:ind w:left="0"/>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私募基金管理人或其委托的运营服务机构与私募基金托管人对本基金每个交易日的估值结果进行核对。</w:t>
            </w:r>
          </w:p>
        </w:tc>
      </w:tr>
      <w:tr w14:paraId="1D1C2C5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30" w:type="pct"/>
            <w:vAlign w:val="center"/>
          </w:tcPr>
          <w:p w14:paraId="4F8F888B">
            <w:pPr>
              <w:pStyle w:val="20"/>
              <w:spacing w:line="360" w:lineRule="auto"/>
              <w:ind w:left="0"/>
              <w:jc w:val="center"/>
              <w:rPr>
                <w:rFonts w:asciiTheme="minorEastAsia" w:hAnsiTheme="minorEastAsia" w:eastAsiaTheme="minorEastAsia"/>
                <w:sz w:val="21"/>
                <w:szCs w:val="21"/>
                <w:lang w:eastAsia="en-US"/>
              </w:rPr>
            </w:pPr>
            <w:r>
              <w:rPr>
                <w:rFonts w:hint="eastAsia" w:cs="Times New Roman" w:asciiTheme="minorEastAsia" w:hAnsiTheme="minorEastAsia" w:eastAsiaTheme="minorEastAsia"/>
                <w:sz w:val="21"/>
                <w:szCs w:val="21"/>
                <w:lang w:eastAsia="en-US"/>
              </w:rPr>
              <w:t>申购</w:t>
            </w:r>
            <w:r>
              <w:rPr>
                <w:rFonts w:cs="Times New Roman" w:asciiTheme="minorEastAsia" w:hAnsiTheme="minorEastAsia" w:eastAsiaTheme="minorEastAsia"/>
                <w:sz w:val="21"/>
                <w:szCs w:val="21"/>
                <w:lang w:eastAsia="en-US"/>
              </w:rPr>
              <w:t>/</w:t>
            </w:r>
            <w:r>
              <w:rPr>
                <w:rFonts w:hint="eastAsia" w:cs="Times New Roman" w:asciiTheme="minorEastAsia" w:hAnsiTheme="minorEastAsia" w:eastAsiaTheme="minorEastAsia"/>
                <w:sz w:val="21"/>
                <w:szCs w:val="21"/>
                <w:lang w:eastAsia="en-US"/>
              </w:rPr>
              <w:t>赎回确认日</w:t>
            </w:r>
          </w:p>
        </w:tc>
        <w:tc>
          <w:tcPr>
            <w:tcW w:w="3770" w:type="pct"/>
          </w:tcPr>
          <w:p w14:paraId="2ECD151E">
            <w:pPr>
              <w:pStyle w:val="20"/>
              <w:spacing w:line="360" w:lineRule="auto"/>
              <w:ind w:left="0"/>
              <w:jc w:val="center"/>
              <w:rPr>
                <w:rFonts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eastAsia="zh-CN"/>
              </w:rPr>
              <w:t>【2】</w:t>
            </w:r>
            <w:r>
              <w:rPr>
                <w:rFonts w:hint="eastAsia" w:asciiTheme="minorEastAsia" w:hAnsiTheme="minorEastAsia" w:eastAsiaTheme="minorEastAsia"/>
                <w:sz w:val="21"/>
                <w:szCs w:val="21"/>
                <w:lang w:val="en-US" w:eastAsia="zh-CN"/>
              </w:rPr>
              <w:t>个交易日</w:t>
            </w:r>
          </w:p>
        </w:tc>
      </w:tr>
    </w:tbl>
    <w:p w14:paraId="28C43425">
      <w:pPr>
        <w:pStyle w:val="4"/>
        <w:spacing w:before="167" w:after="22" w:line="360" w:lineRule="auto"/>
        <w:ind w:left="0"/>
        <w:rPr>
          <w:rFonts w:asciiTheme="minorEastAsia" w:hAnsiTheme="minorEastAsia" w:eastAsiaTheme="minorEastAsia"/>
          <w:b/>
          <w:bCs/>
          <w:spacing w:val="-10"/>
          <w:sz w:val="21"/>
          <w:szCs w:val="21"/>
        </w:rPr>
      </w:pPr>
      <w:r>
        <w:rPr>
          <w:rFonts w:asciiTheme="minorEastAsia" w:hAnsiTheme="minorEastAsia" w:eastAsiaTheme="minorEastAsia"/>
          <w:b/>
          <w:bCs/>
          <w:spacing w:val="-10"/>
          <w:sz w:val="21"/>
          <w:szCs w:val="21"/>
        </w:rPr>
        <w:t>第</w:t>
      </w:r>
      <w:r>
        <w:rPr>
          <w:rFonts w:hint="eastAsia" w:asciiTheme="minorEastAsia" w:hAnsiTheme="minorEastAsia" w:eastAsiaTheme="minorEastAsia"/>
          <w:b/>
          <w:bCs/>
          <w:spacing w:val="-10"/>
          <w:sz w:val="21"/>
          <w:szCs w:val="21"/>
        </w:rPr>
        <w:t>二</w:t>
      </w:r>
      <w:r>
        <w:rPr>
          <w:rFonts w:asciiTheme="minorEastAsia" w:hAnsiTheme="minorEastAsia" w:eastAsiaTheme="minorEastAsia"/>
          <w:b/>
          <w:bCs/>
          <w:spacing w:val="-10"/>
          <w:sz w:val="21"/>
          <w:szCs w:val="21"/>
        </w:rPr>
        <w:t>部分 费用相关</w:t>
      </w:r>
    </w:p>
    <w:p w14:paraId="06C7B740">
      <w:pPr>
        <w:spacing w:line="360" w:lineRule="auto"/>
        <w:ind w:left="284"/>
        <w:jc w:val="center"/>
      </w:pPr>
    </w:p>
    <w:tbl>
      <w:tblPr>
        <w:tblStyle w:val="21"/>
        <w:tblW w:w="4743" w:type="pct"/>
        <w:tblInd w:w="1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2269"/>
        <w:gridCol w:w="6999"/>
      </w:tblGrid>
      <w:tr w14:paraId="48C8C42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24" w:type="pct"/>
            <w:vAlign w:val="center"/>
          </w:tcPr>
          <w:p w14:paraId="1BD40192">
            <w:pPr>
              <w:pStyle w:val="20"/>
              <w:spacing w:line="360" w:lineRule="auto"/>
              <w:ind w:left="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认购费</w:t>
            </w:r>
          </w:p>
        </w:tc>
        <w:tc>
          <w:tcPr>
            <w:tcW w:w="3776" w:type="pct"/>
          </w:tcPr>
          <w:p w14:paraId="6FA8E1B4">
            <w:pPr>
              <w:pStyle w:val="20"/>
              <w:spacing w:line="360" w:lineRule="auto"/>
              <w:ind w:left="0"/>
              <w:jc w:val="center"/>
              <w:rPr>
                <w:rFonts w:asciiTheme="minorEastAsia" w:hAnsiTheme="minorEastAsia" w:eastAsiaTheme="minorEastAsia"/>
                <w:w w:val="125"/>
                <w:sz w:val="21"/>
                <w:szCs w:val="21"/>
                <w:lang w:eastAsia="en-US"/>
              </w:rPr>
            </w:pPr>
            <w:r>
              <w:rPr>
                <w:rFonts w:hint="eastAsia" w:asciiTheme="minorEastAsia" w:hAnsiTheme="minorEastAsia" w:eastAsiaTheme="minorEastAsia"/>
                <w:sz w:val="21"/>
                <w:szCs w:val="21"/>
                <w:lang w:eastAsia="en-US"/>
              </w:rPr>
              <w:t>0%</w:t>
            </w:r>
          </w:p>
        </w:tc>
      </w:tr>
      <w:tr w14:paraId="22BD51D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70" w:hRule="atLeast"/>
        </w:trPr>
        <w:tc>
          <w:tcPr>
            <w:tcW w:w="1224" w:type="pct"/>
            <w:vAlign w:val="center"/>
          </w:tcPr>
          <w:p w14:paraId="4EA07A6D">
            <w:pPr>
              <w:pStyle w:val="20"/>
              <w:spacing w:line="360" w:lineRule="auto"/>
              <w:ind w:left="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申购费</w:t>
            </w:r>
          </w:p>
        </w:tc>
        <w:tc>
          <w:tcPr>
            <w:tcW w:w="3776" w:type="pct"/>
          </w:tcPr>
          <w:p w14:paraId="19001555">
            <w:pPr>
              <w:pStyle w:val="20"/>
              <w:spacing w:line="360" w:lineRule="auto"/>
              <w:ind w:left="0"/>
              <w:jc w:val="center"/>
              <w:rPr>
                <w:rFonts w:asciiTheme="minorEastAsia" w:hAnsiTheme="minorEastAsia" w:eastAsiaTheme="minorEastAsia"/>
                <w:w w:val="125"/>
                <w:sz w:val="21"/>
                <w:szCs w:val="21"/>
                <w:lang w:eastAsia="en-US"/>
              </w:rPr>
            </w:pPr>
            <w:r>
              <w:rPr>
                <w:rFonts w:hint="eastAsia" w:asciiTheme="minorEastAsia" w:hAnsiTheme="minorEastAsia" w:eastAsiaTheme="minorEastAsia"/>
                <w:sz w:val="21"/>
                <w:szCs w:val="21"/>
                <w:lang w:eastAsia="en-US"/>
              </w:rPr>
              <w:t>0%</w:t>
            </w:r>
          </w:p>
        </w:tc>
      </w:tr>
      <w:tr w14:paraId="5546F8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70" w:hRule="atLeast"/>
        </w:trPr>
        <w:tc>
          <w:tcPr>
            <w:tcW w:w="1224" w:type="pct"/>
            <w:vAlign w:val="center"/>
          </w:tcPr>
          <w:p w14:paraId="12F5FCC3">
            <w:pPr>
              <w:pStyle w:val="20"/>
              <w:spacing w:line="360" w:lineRule="auto"/>
              <w:ind w:left="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赎回费</w:t>
            </w:r>
          </w:p>
        </w:tc>
        <w:tc>
          <w:tcPr>
            <w:tcW w:w="3776" w:type="pct"/>
          </w:tcPr>
          <w:p w14:paraId="4853547C">
            <w:pPr>
              <w:pStyle w:val="20"/>
              <w:spacing w:line="360" w:lineRule="auto"/>
              <w:ind w:left="0"/>
              <w:jc w:val="center"/>
              <w:rPr>
                <w:rFonts w:asciiTheme="minorEastAsia" w:hAnsiTheme="minorEastAsia" w:eastAsiaTheme="minorEastAsia"/>
                <w:w w:val="125"/>
                <w:sz w:val="21"/>
                <w:szCs w:val="21"/>
                <w:lang w:eastAsia="en-US"/>
              </w:rPr>
            </w:pPr>
            <w:r>
              <w:rPr>
                <w:rFonts w:hint="eastAsia" w:asciiTheme="minorEastAsia" w:hAnsiTheme="minorEastAsia" w:eastAsiaTheme="minorEastAsia"/>
                <w:sz w:val="21"/>
                <w:szCs w:val="21"/>
                <w:lang w:eastAsia="en-US"/>
              </w:rPr>
              <w:t>0%</w:t>
            </w:r>
          </w:p>
        </w:tc>
      </w:tr>
      <w:tr w14:paraId="28DE319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70" w:hRule="atLeast"/>
        </w:trPr>
        <w:tc>
          <w:tcPr>
            <w:tcW w:w="1224" w:type="pct"/>
            <w:vAlign w:val="center"/>
          </w:tcPr>
          <w:p w14:paraId="54736237">
            <w:pPr>
              <w:pStyle w:val="20"/>
              <w:spacing w:line="360" w:lineRule="auto"/>
              <w:ind w:left="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赎回费归属</w:t>
            </w:r>
          </w:p>
        </w:tc>
        <w:tc>
          <w:tcPr>
            <w:tcW w:w="3776" w:type="pct"/>
          </w:tcPr>
          <w:p w14:paraId="59AC3CA9">
            <w:pPr>
              <w:pStyle w:val="20"/>
              <w:spacing w:line="360" w:lineRule="auto"/>
              <w:ind w:left="0"/>
              <w:jc w:val="center"/>
              <w:rPr>
                <w:rFonts w:asciiTheme="minorEastAsia" w:hAnsiTheme="minorEastAsia" w:eastAsiaTheme="minorEastAsia"/>
                <w:sz w:val="21"/>
                <w:szCs w:val="21"/>
                <w:lang w:val="en-US" w:eastAsia="zh-CN"/>
              </w:rPr>
            </w:pPr>
            <w:r>
              <w:rPr>
                <w:rFonts w:asciiTheme="minorEastAsia" w:hAnsiTheme="minorEastAsia" w:eastAsiaTheme="minorEastAsia"/>
                <w:sz w:val="21"/>
                <w:szCs w:val="21"/>
                <w:lang w:val="en-US" w:eastAsia="zh-CN"/>
              </w:rPr>
              <w:t>/</w:t>
            </w:r>
          </w:p>
        </w:tc>
      </w:tr>
      <w:tr w14:paraId="72032F9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70" w:hRule="atLeast"/>
        </w:trPr>
        <w:tc>
          <w:tcPr>
            <w:tcW w:w="1224" w:type="pct"/>
            <w:vAlign w:val="center"/>
          </w:tcPr>
          <w:p w14:paraId="1A91B903">
            <w:pPr>
              <w:pStyle w:val="20"/>
              <w:spacing w:line="360" w:lineRule="auto"/>
              <w:ind w:left="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管理费年费率</w:t>
            </w:r>
          </w:p>
        </w:tc>
        <w:tc>
          <w:tcPr>
            <w:tcW w:w="3776" w:type="pct"/>
          </w:tcPr>
          <w:p w14:paraId="02FF04E3">
            <w:pPr>
              <w:pStyle w:val="20"/>
              <w:spacing w:line="360" w:lineRule="auto"/>
              <w:ind w:left="0"/>
              <w:jc w:val="center"/>
              <w:rPr>
                <w:rFonts w:asciiTheme="minorEastAsia" w:hAnsiTheme="minorEastAsia" w:eastAsiaTheme="minorEastAsia"/>
                <w:w w:val="125"/>
                <w:sz w:val="21"/>
                <w:szCs w:val="21"/>
                <w:lang w:eastAsia="en-US"/>
              </w:rPr>
            </w:pPr>
            <w:r>
              <w:rPr>
                <w:rFonts w:hint="eastAsia" w:asciiTheme="minorEastAsia" w:hAnsiTheme="minorEastAsia" w:eastAsiaTheme="minorEastAsia"/>
                <w:sz w:val="21"/>
                <w:szCs w:val="21"/>
                <w:lang w:eastAsia="en-US"/>
              </w:rPr>
              <w:t>1%</w:t>
            </w:r>
          </w:p>
        </w:tc>
      </w:tr>
      <w:tr w14:paraId="55177C2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70" w:hRule="atLeast"/>
        </w:trPr>
        <w:tc>
          <w:tcPr>
            <w:tcW w:w="1224" w:type="pct"/>
            <w:vAlign w:val="center"/>
          </w:tcPr>
          <w:p w14:paraId="5087A4EE">
            <w:pPr>
              <w:pStyle w:val="20"/>
              <w:spacing w:line="360" w:lineRule="auto"/>
              <w:ind w:left="0"/>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托管</w:t>
            </w:r>
            <w:r>
              <w:rPr>
                <w:rFonts w:asciiTheme="minorEastAsia" w:hAnsiTheme="minorEastAsia" w:eastAsiaTheme="minorEastAsia"/>
                <w:sz w:val="21"/>
                <w:szCs w:val="21"/>
                <w:lang w:eastAsia="en-US"/>
              </w:rPr>
              <w:t>费年费率</w:t>
            </w:r>
          </w:p>
        </w:tc>
        <w:tc>
          <w:tcPr>
            <w:tcW w:w="3776" w:type="pct"/>
          </w:tcPr>
          <w:p w14:paraId="1707ADA5">
            <w:pPr>
              <w:pStyle w:val="20"/>
              <w:spacing w:line="360" w:lineRule="auto"/>
              <w:ind w:left="0"/>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0.02%</w:t>
            </w:r>
          </w:p>
        </w:tc>
      </w:tr>
      <w:tr w14:paraId="325D031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70" w:hRule="atLeast"/>
        </w:trPr>
        <w:tc>
          <w:tcPr>
            <w:tcW w:w="1224" w:type="pct"/>
            <w:vAlign w:val="center"/>
          </w:tcPr>
          <w:p w14:paraId="47AA5281">
            <w:pPr>
              <w:pStyle w:val="20"/>
              <w:spacing w:line="360" w:lineRule="auto"/>
              <w:ind w:left="0"/>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运营服务</w:t>
            </w:r>
            <w:r>
              <w:rPr>
                <w:rFonts w:asciiTheme="minorEastAsia" w:hAnsiTheme="minorEastAsia" w:eastAsiaTheme="minorEastAsia"/>
                <w:sz w:val="21"/>
                <w:szCs w:val="21"/>
                <w:lang w:eastAsia="en-US"/>
              </w:rPr>
              <w:t>费年费率</w:t>
            </w:r>
          </w:p>
        </w:tc>
        <w:tc>
          <w:tcPr>
            <w:tcW w:w="3776" w:type="pct"/>
          </w:tcPr>
          <w:p w14:paraId="7284BF98">
            <w:pPr>
              <w:pStyle w:val="20"/>
              <w:tabs>
                <w:tab w:val="left" w:pos="367"/>
                <w:tab w:val="center" w:pos="2922"/>
              </w:tabs>
              <w:spacing w:line="360" w:lineRule="auto"/>
              <w:ind w:left="0"/>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0.02%</w:t>
            </w:r>
          </w:p>
        </w:tc>
      </w:tr>
      <w:tr w14:paraId="4751A40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830" w:hRule="atLeast"/>
        </w:trPr>
        <w:tc>
          <w:tcPr>
            <w:tcW w:w="1224" w:type="pct"/>
            <w:vAlign w:val="center"/>
          </w:tcPr>
          <w:p w14:paraId="7C21E948">
            <w:pPr>
              <w:jc w:val="center"/>
              <w:rPr>
                <w:rFonts w:asciiTheme="minorEastAsia" w:hAnsiTheme="minorEastAsia" w:eastAsiaTheme="minorEastAsia"/>
                <w:sz w:val="21"/>
                <w:szCs w:val="21"/>
                <w:lang w:val="en-US" w:eastAsia="en-US" w:bidi="ar-SA"/>
              </w:rPr>
            </w:pPr>
            <w:r>
              <w:rPr>
                <w:rFonts w:hint="eastAsia" w:asciiTheme="minorEastAsia" w:hAnsiTheme="minorEastAsia" w:eastAsiaTheme="minorEastAsia"/>
                <w:sz w:val="21"/>
                <w:szCs w:val="21"/>
                <w:lang w:eastAsia="en-US"/>
              </w:rPr>
              <w:t>业绩报酬计提方式</w:t>
            </w:r>
          </w:p>
        </w:tc>
        <w:tc>
          <w:tcPr>
            <w:tcW w:w="3776" w:type="pct"/>
          </w:tcPr>
          <w:p w14:paraId="6D4755FC">
            <w:pPr>
              <w:pStyle w:val="20"/>
              <w:spacing w:line="360" w:lineRule="auto"/>
              <w:ind w:left="0"/>
              <w:rPr>
                <w:rFonts w:asciiTheme="minorEastAsia" w:hAnsiTheme="minorEastAsia" w:eastAsiaTheme="minorEastAsia"/>
                <w:w w:val="125"/>
                <w:sz w:val="21"/>
                <w:szCs w:val="21"/>
                <w:lang w:eastAsia="en-US"/>
              </w:rPr>
            </w:pPr>
            <w:r>
              <w:rPr>
                <w:rFonts w:hint="eastAsia" w:asciiTheme="minorEastAsia" w:hAnsiTheme="minorEastAsia" w:eastAsiaTheme="minorEastAsia"/>
                <w:sz w:val="21"/>
                <w:szCs w:val="21"/>
                <w:lang w:eastAsia="en-US"/>
              </w:rPr>
              <w:t>(1)业绩报酬的计提基准日：投资者赎回日、分红权益登记日、基金清算日。本基金连续两次成功计提业绩报酬基准日的间隔不应短于3个月，投资者赎回日、基金清算日以及合同约定的其他业绩报酬计提基准日遇非交易日顺延的情况除外。</w:t>
            </w:r>
          </w:p>
          <w:p w14:paraId="77D0E2F8">
            <w:pPr>
              <w:pStyle w:val="20"/>
              <w:spacing w:line="360" w:lineRule="auto"/>
              <w:ind w:left="0"/>
              <w:rPr>
                <w:rFonts w:asciiTheme="minorEastAsia" w:hAnsiTheme="minorEastAsia" w:eastAsiaTheme="minorEastAsia"/>
                <w:w w:val="125"/>
                <w:sz w:val="21"/>
                <w:szCs w:val="21"/>
                <w:lang w:eastAsia="en-US"/>
              </w:rPr>
            </w:pPr>
            <w:r>
              <w:rPr>
                <w:rFonts w:hint="eastAsia" w:asciiTheme="minorEastAsia" w:hAnsiTheme="minorEastAsia" w:eastAsiaTheme="minorEastAsia"/>
                <w:sz w:val="21"/>
                <w:szCs w:val="21"/>
                <w:lang w:eastAsia="en-US"/>
              </w:rPr>
              <w:t>(2)业绩报酬的计算：业绩报酬的计算采用单个投资者单笔高水位净值法，即基金份额持有人的每笔基金份额或赎回份额累计净值大于上次成功计提基准日（首次计提时，则为参与日份额累计净值）时，分别计算每笔份额在上一成功计提基准日至本次计提基准日持有期间的基金份额累计净值增长差额，对超过上次成功计提基准日基金份额累计净值部分按20%比例进行计提。</w:t>
            </w:r>
          </w:p>
          <w:p w14:paraId="7533EAA7">
            <w:pPr>
              <w:pStyle w:val="20"/>
              <w:spacing w:line="360" w:lineRule="auto"/>
              <w:ind w:left="0"/>
              <w:rPr>
                <w:rFonts w:asciiTheme="minorEastAsia" w:hAnsiTheme="minorEastAsia" w:eastAsiaTheme="minorEastAsia"/>
                <w:w w:val="125"/>
                <w:sz w:val="21"/>
                <w:szCs w:val="21"/>
                <w:lang w:eastAsia="en-US"/>
              </w:rPr>
            </w:pPr>
            <w:r>
              <w:rPr>
                <w:rFonts w:hint="eastAsia" w:asciiTheme="minorEastAsia" w:hAnsiTheme="minorEastAsia" w:eastAsiaTheme="minorEastAsia"/>
                <w:sz w:val="21"/>
                <w:szCs w:val="21"/>
                <w:lang w:eastAsia="en-US"/>
              </w:rPr>
              <w:t>业绩报酬的具体计算及支付如下：</w:t>
            </w:r>
          </w:p>
          <w:p w14:paraId="7E6AF1EB">
            <w:pPr>
              <w:pStyle w:val="20"/>
              <w:spacing w:line="360" w:lineRule="auto"/>
              <w:ind w:left="0"/>
              <w:rPr>
                <w:rFonts w:asciiTheme="minorEastAsia" w:hAnsiTheme="minorEastAsia" w:eastAsiaTheme="minorEastAsia"/>
                <w:w w:val="125"/>
                <w:sz w:val="21"/>
                <w:szCs w:val="21"/>
                <w:lang w:eastAsia="en-US"/>
              </w:rPr>
            </w:pPr>
            <w:r>
              <w:rPr>
                <w:rFonts w:hint="eastAsia" w:asciiTheme="minorEastAsia" w:hAnsiTheme="minorEastAsia" w:eastAsiaTheme="minorEastAsia"/>
                <w:sz w:val="21"/>
                <w:szCs w:val="21"/>
                <w:lang w:eastAsia="en-US"/>
              </w:rPr>
              <w:t>1)赎回、清算日提取业绩报酬</w:t>
            </w:r>
          </w:p>
          <w:p w14:paraId="707E3492">
            <w:pPr>
              <w:pStyle w:val="20"/>
              <w:spacing w:line="360" w:lineRule="auto"/>
              <w:ind w:left="0"/>
              <w:rPr>
                <w:rFonts w:asciiTheme="minorEastAsia" w:hAnsiTheme="minorEastAsia" w:eastAsiaTheme="minorEastAsia"/>
                <w:w w:val="125"/>
                <w:sz w:val="21"/>
                <w:szCs w:val="21"/>
                <w:lang w:eastAsia="en-US"/>
              </w:rPr>
            </w:pPr>
            <w:r>
              <w:rPr>
                <w:rFonts w:hint="eastAsia" w:asciiTheme="minorEastAsia" w:hAnsiTheme="minorEastAsia" w:eastAsiaTheme="minorEastAsia"/>
                <w:sz w:val="21"/>
                <w:szCs w:val="21"/>
                <w:lang w:eastAsia="en-US"/>
              </w:rPr>
              <w:t>E=当NAVn≤NAVh时，0当NAVn&gt;NAVh时，（NAVn−NAVh）×S×R，</w:t>
            </w:r>
          </w:p>
          <w:p w14:paraId="4E1A4259">
            <w:pPr>
              <w:pStyle w:val="20"/>
              <w:spacing w:line="360" w:lineRule="auto"/>
              <w:ind w:left="0"/>
              <w:rPr>
                <w:rFonts w:asciiTheme="minorEastAsia" w:hAnsiTheme="minorEastAsia" w:eastAsiaTheme="minorEastAsia"/>
                <w:w w:val="125"/>
                <w:sz w:val="21"/>
                <w:szCs w:val="21"/>
                <w:lang w:eastAsia="en-US"/>
              </w:rPr>
            </w:pPr>
            <w:r>
              <w:rPr>
                <w:rFonts w:hint="eastAsia" w:asciiTheme="minorEastAsia" w:hAnsiTheme="minorEastAsia" w:eastAsiaTheme="minorEastAsia"/>
                <w:sz w:val="21"/>
                <w:szCs w:val="21"/>
                <w:lang w:eastAsia="en-US"/>
              </w:rPr>
              <w:t>其中：E为应计提的业绩报酬；</w:t>
            </w:r>
          </w:p>
          <w:p w14:paraId="0E362011">
            <w:pPr>
              <w:pStyle w:val="20"/>
              <w:spacing w:line="360" w:lineRule="auto"/>
              <w:ind w:left="0"/>
              <w:rPr>
                <w:rFonts w:asciiTheme="minorEastAsia" w:hAnsiTheme="minorEastAsia" w:eastAsiaTheme="minorEastAsia"/>
                <w:w w:val="125"/>
                <w:sz w:val="21"/>
                <w:szCs w:val="21"/>
                <w:lang w:eastAsia="en-US"/>
              </w:rPr>
            </w:pPr>
            <w:r>
              <w:rPr>
                <w:rFonts w:hint="eastAsia" w:asciiTheme="minorEastAsia" w:hAnsiTheme="minorEastAsia" w:eastAsiaTheme="minorEastAsia"/>
                <w:sz w:val="21"/>
                <w:szCs w:val="21"/>
                <w:lang w:eastAsia="en-US"/>
              </w:rPr>
              <w:t>NAVn为当前基准日未扣除当期应计提业绩报酬前的基金份额累计净值；</w:t>
            </w:r>
          </w:p>
          <w:p w14:paraId="77FB334B">
            <w:pPr>
              <w:pStyle w:val="20"/>
              <w:spacing w:line="360" w:lineRule="auto"/>
              <w:ind w:left="0"/>
              <w:rPr>
                <w:rFonts w:asciiTheme="minorEastAsia" w:hAnsiTheme="minorEastAsia" w:eastAsiaTheme="minorEastAsia"/>
                <w:w w:val="125"/>
                <w:sz w:val="21"/>
                <w:szCs w:val="21"/>
                <w:lang w:eastAsia="en-US"/>
              </w:rPr>
            </w:pPr>
            <w:r>
              <w:rPr>
                <w:rFonts w:hint="eastAsia" w:asciiTheme="minorEastAsia" w:hAnsiTheme="minorEastAsia" w:eastAsiaTheme="minorEastAsia"/>
                <w:sz w:val="21"/>
                <w:szCs w:val="21"/>
                <w:lang w:eastAsia="en-US"/>
              </w:rPr>
              <w:t>NAVh为上次成功计提基准日基金份额累计净值（历史未计提，则为参与日份额累计净值）；</w:t>
            </w:r>
          </w:p>
          <w:p w14:paraId="3D27488A">
            <w:pPr>
              <w:pStyle w:val="20"/>
              <w:spacing w:line="360" w:lineRule="auto"/>
              <w:ind w:left="0"/>
              <w:rPr>
                <w:rFonts w:asciiTheme="minorEastAsia" w:hAnsiTheme="minorEastAsia" w:eastAsiaTheme="minorEastAsia"/>
                <w:w w:val="125"/>
                <w:sz w:val="21"/>
                <w:szCs w:val="21"/>
                <w:lang w:eastAsia="en-US"/>
              </w:rPr>
            </w:pPr>
            <w:r>
              <w:rPr>
                <w:rFonts w:hint="eastAsia" w:asciiTheme="minorEastAsia" w:hAnsiTheme="minorEastAsia" w:eastAsiaTheme="minorEastAsia"/>
                <w:sz w:val="21"/>
                <w:szCs w:val="21"/>
                <w:lang w:eastAsia="en-US"/>
              </w:rPr>
              <w:t>S为当前基准日单个基金份额持有人赎回或持有的单笔份额；</w:t>
            </w:r>
          </w:p>
          <w:p w14:paraId="4CE498D6">
            <w:pPr>
              <w:pStyle w:val="20"/>
              <w:spacing w:line="360" w:lineRule="auto"/>
              <w:ind w:left="0"/>
              <w:rPr>
                <w:rFonts w:asciiTheme="minorEastAsia" w:hAnsiTheme="minorEastAsia" w:eastAsiaTheme="minorEastAsia"/>
                <w:w w:val="125"/>
                <w:sz w:val="21"/>
                <w:szCs w:val="21"/>
                <w:lang w:eastAsia="en-US"/>
              </w:rPr>
            </w:pPr>
            <w:r>
              <w:rPr>
                <w:rFonts w:hint="eastAsia" w:asciiTheme="minorEastAsia" w:hAnsiTheme="minorEastAsia" w:eastAsiaTheme="minorEastAsia"/>
                <w:sz w:val="21"/>
                <w:szCs w:val="21"/>
                <w:lang w:eastAsia="en-US"/>
              </w:rPr>
              <w:t>R= 20%，为业绩报酬提取比例；</w:t>
            </w:r>
          </w:p>
          <w:p w14:paraId="5046522C">
            <w:pPr>
              <w:pStyle w:val="20"/>
              <w:spacing w:line="360" w:lineRule="auto"/>
              <w:ind w:left="0"/>
              <w:rPr>
                <w:rFonts w:asciiTheme="minorEastAsia" w:hAnsiTheme="minorEastAsia" w:eastAsiaTheme="minorEastAsia"/>
                <w:w w:val="125"/>
                <w:sz w:val="21"/>
                <w:szCs w:val="21"/>
                <w:lang w:eastAsia="en-US"/>
              </w:rPr>
            </w:pPr>
            <w:r>
              <w:rPr>
                <w:rFonts w:hint="eastAsia" w:asciiTheme="minorEastAsia" w:hAnsiTheme="minorEastAsia" w:eastAsiaTheme="minorEastAsia"/>
                <w:sz w:val="21"/>
                <w:szCs w:val="21"/>
                <w:lang w:eastAsia="en-US"/>
              </w:rPr>
              <w:t>2)分红提取业绩报酬</w:t>
            </w:r>
          </w:p>
          <w:p w14:paraId="6B04D2E6">
            <w:pPr>
              <w:pStyle w:val="20"/>
              <w:spacing w:line="360" w:lineRule="auto"/>
              <w:ind w:left="0"/>
              <w:rPr>
                <w:rFonts w:asciiTheme="minorEastAsia" w:hAnsiTheme="minorEastAsia" w:eastAsiaTheme="minorEastAsia"/>
                <w:w w:val="125"/>
                <w:sz w:val="21"/>
                <w:szCs w:val="21"/>
                <w:lang w:eastAsia="en-US"/>
              </w:rPr>
            </w:pPr>
            <w:r>
              <w:rPr>
                <w:rFonts w:hint="eastAsia" w:asciiTheme="minorEastAsia" w:hAnsiTheme="minorEastAsia" w:eastAsiaTheme="minorEastAsia"/>
                <w:sz w:val="21"/>
                <w:szCs w:val="21"/>
                <w:lang w:eastAsia="en-US"/>
              </w:rPr>
              <w:t>当发生分红时，私募基金管理人先按“赎回、清算日提取业绩报酬”的方法计算每个基金份额持有人的应计提业绩报酬金额，然后在派发分红时从分红金额中扣除业绩报酬；当分红金额不足以扣除业绩报酬时，以分红金额为限进行扣除。</w:t>
            </w:r>
          </w:p>
          <w:p w14:paraId="56406C0E">
            <w:pPr>
              <w:pStyle w:val="20"/>
              <w:spacing w:line="360" w:lineRule="auto"/>
              <w:ind w:left="0"/>
              <w:rPr>
                <w:rFonts w:asciiTheme="minorEastAsia" w:hAnsiTheme="minorEastAsia" w:eastAsiaTheme="minorEastAsia"/>
                <w:w w:val="125"/>
                <w:sz w:val="21"/>
                <w:szCs w:val="21"/>
                <w:lang w:eastAsia="en-US"/>
              </w:rPr>
            </w:pPr>
            <w:r>
              <w:rPr>
                <w:rFonts w:hint="eastAsia" w:asciiTheme="minorEastAsia" w:hAnsiTheme="minorEastAsia" w:eastAsiaTheme="minorEastAsia"/>
                <w:sz w:val="21"/>
                <w:szCs w:val="21"/>
                <w:lang w:eastAsia="en-US"/>
              </w:rPr>
              <w:t>业绩报酬的计算保留到小数点后2位，小数点后第3位四舍五入，由此带来的收益和损失归入基金资产。</w:t>
            </w:r>
          </w:p>
          <w:p w14:paraId="396E8F0C">
            <w:pPr>
              <w:pStyle w:val="20"/>
              <w:spacing w:line="360" w:lineRule="auto"/>
              <w:ind w:left="0"/>
              <w:rPr>
                <w:rFonts w:asciiTheme="minorEastAsia" w:hAnsiTheme="minorEastAsia" w:eastAsiaTheme="minorEastAsia"/>
                <w:w w:val="125"/>
                <w:sz w:val="21"/>
                <w:szCs w:val="21"/>
                <w:lang w:eastAsia="en-US"/>
              </w:rPr>
            </w:pPr>
            <w:r>
              <w:rPr>
                <w:rFonts w:hint="eastAsia" w:asciiTheme="minorEastAsia" w:hAnsiTheme="minorEastAsia" w:eastAsiaTheme="minorEastAsia"/>
                <w:sz w:val="21"/>
                <w:szCs w:val="21"/>
                <w:lang w:eastAsia="en-US"/>
              </w:rPr>
              <w:t>3)业绩报酬的支付</w:t>
            </w:r>
          </w:p>
          <w:p w14:paraId="76B2B90D">
            <w:pPr>
              <w:pStyle w:val="20"/>
              <w:spacing w:line="360" w:lineRule="auto"/>
              <w:ind w:left="0"/>
              <w:rPr>
                <w:rFonts w:asciiTheme="minorEastAsia" w:hAnsiTheme="minorEastAsia" w:eastAsiaTheme="minorEastAsia"/>
                <w:w w:val="125"/>
                <w:sz w:val="21"/>
                <w:szCs w:val="21"/>
                <w:lang w:eastAsia="en-US"/>
              </w:rPr>
            </w:pPr>
            <w:r>
              <w:rPr>
                <w:rFonts w:hint="eastAsia" w:asciiTheme="minorEastAsia" w:hAnsiTheme="minorEastAsia" w:eastAsiaTheme="minorEastAsia"/>
                <w:sz w:val="21"/>
                <w:szCs w:val="21"/>
                <w:lang w:eastAsia="en-US"/>
              </w:rPr>
              <w:t>业绩报酬由私募基金管理人或运营服务机构负责计算及复核，并由私募基金管理人在单个基金份额持有人分红或赎回或清算款项（以下简称“退出金额”）中分别予以相应扣除，即退出金额支付日，私募基金托管人根据私募基金管理人的指令将退出金额（含业绩报酬）划拨到基金募集账户，私募基金管理人扣除归其所有的应计提业绩报酬后，将剩余的退出金额支付给基金份额持有人。</w:t>
            </w:r>
          </w:p>
          <w:p w14:paraId="74236257">
            <w:pPr>
              <w:pStyle w:val="20"/>
              <w:spacing w:line="360" w:lineRule="auto"/>
              <w:ind w:left="0"/>
              <w:rPr>
                <w:rFonts w:asciiTheme="minorEastAsia" w:hAnsiTheme="minorEastAsia" w:eastAsiaTheme="minorEastAsia"/>
                <w:w w:val="125"/>
                <w:sz w:val="21"/>
                <w:szCs w:val="21"/>
                <w:lang w:eastAsia="en-US"/>
              </w:rPr>
            </w:pPr>
            <w:r>
              <w:rPr>
                <w:rFonts w:hint="eastAsia" w:asciiTheme="minorEastAsia" w:hAnsiTheme="minorEastAsia" w:eastAsiaTheme="minorEastAsia"/>
                <w:sz w:val="21"/>
                <w:szCs w:val="21"/>
                <w:lang w:eastAsia="en-US"/>
              </w:rPr>
              <w:t>业绩报酬（如有）收取账户为本合同约定的私募基金管理人管理费收取账户。</w:t>
            </w:r>
          </w:p>
        </w:tc>
      </w:tr>
      <w:tr w14:paraId="5A3ECFD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79" w:hRule="atLeast"/>
        </w:trPr>
        <w:tc>
          <w:tcPr>
            <w:tcW w:w="1224" w:type="pct"/>
            <w:vAlign w:val="center"/>
          </w:tcPr>
          <w:p w14:paraId="191ACC82">
            <w:pPr>
              <w:pStyle w:val="20"/>
              <w:spacing w:before="1" w:line="360" w:lineRule="auto"/>
              <w:ind w:left="0"/>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默认</w:t>
            </w:r>
            <w:r>
              <w:rPr>
                <w:rFonts w:asciiTheme="minorEastAsia" w:hAnsiTheme="minorEastAsia" w:eastAsiaTheme="minorEastAsia"/>
                <w:sz w:val="21"/>
                <w:szCs w:val="21"/>
                <w:lang w:eastAsia="en-US"/>
              </w:rPr>
              <w:t>分红方式</w:t>
            </w:r>
          </w:p>
        </w:tc>
        <w:tc>
          <w:tcPr>
            <w:tcW w:w="3776" w:type="pct"/>
          </w:tcPr>
          <w:p w14:paraId="1B78F455">
            <w:pPr>
              <w:pStyle w:val="20"/>
              <w:spacing w:line="360" w:lineRule="auto"/>
              <w:ind w:left="0"/>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现金方式</w:t>
            </w:r>
          </w:p>
        </w:tc>
      </w:tr>
    </w:tbl>
    <w:p w14:paraId="478DBCFA">
      <w:pPr>
        <w:spacing w:line="360" w:lineRule="auto"/>
        <w:ind w:left="284"/>
        <w:jc w:val="center"/>
        <w:rPr>
          <w:szCs w:val="21"/>
        </w:rPr>
      </w:pPr>
    </w:p>
    <w:p w14:paraId="198E432D">
      <w:pPr>
        <w:pStyle w:val="4"/>
        <w:spacing w:before="167" w:after="22" w:line="360" w:lineRule="auto"/>
        <w:ind w:left="0"/>
        <w:jc w:val="center"/>
        <w:rPr>
          <w:rFonts w:asciiTheme="minorEastAsia" w:hAnsiTheme="minorEastAsia" w:eastAsiaTheme="minorEastAsia"/>
          <w:b/>
          <w:bCs/>
          <w:spacing w:val="-10"/>
          <w:sz w:val="21"/>
          <w:szCs w:val="21"/>
        </w:rPr>
      </w:pPr>
    </w:p>
    <w:p w14:paraId="5D6C1C38">
      <w:pPr>
        <w:pStyle w:val="4"/>
        <w:spacing w:before="167" w:after="22" w:line="360" w:lineRule="auto"/>
        <w:ind w:left="0"/>
        <w:jc w:val="center"/>
        <w:rPr>
          <w:rFonts w:asciiTheme="minorEastAsia" w:hAnsiTheme="minorEastAsia" w:eastAsiaTheme="minorEastAsia"/>
          <w:b/>
          <w:bCs/>
          <w:spacing w:val="-10"/>
          <w:sz w:val="21"/>
          <w:szCs w:val="21"/>
          <w:lang w:val="en-US"/>
        </w:rPr>
      </w:pPr>
    </w:p>
    <w:p w14:paraId="2178274B">
      <w:pPr>
        <w:pStyle w:val="4"/>
        <w:spacing w:before="167" w:after="22" w:line="360" w:lineRule="auto"/>
        <w:ind w:left="0"/>
        <w:jc w:val="center"/>
        <w:rPr>
          <w:rFonts w:asciiTheme="minorEastAsia" w:hAnsiTheme="minorEastAsia" w:eastAsiaTheme="minorEastAsia"/>
          <w:b/>
          <w:bCs/>
          <w:spacing w:val="-10"/>
          <w:sz w:val="21"/>
          <w:szCs w:val="21"/>
        </w:rPr>
      </w:pPr>
    </w:p>
    <w:p w14:paraId="0330A915">
      <w:pPr>
        <w:pStyle w:val="4"/>
        <w:spacing w:before="167" w:after="22" w:line="360" w:lineRule="auto"/>
        <w:ind w:left="0"/>
        <w:rPr>
          <w:rFonts w:asciiTheme="minorEastAsia" w:hAnsiTheme="minorEastAsia" w:eastAsiaTheme="minorEastAsia"/>
          <w:b/>
          <w:bCs/>
          <w:spacing w:val="-10"/>
          <w:sz w:val="21"/>
          <w:szCs w:val="21"/>
        </w:rPr>
      </w:pPr>
      <w:r>
        <w:rPr>
          <w:rFonts w:asciiTheme="minorEastAsia" w:hAnsiTheme="minorEastAsia" w:eastAsiaTheme="minorEastAsia"/>
          <w:b/>
          <w:bCs/>
          <w:spacing w:val="-10"/>
          <w:sz w:val="21"/>
          <w:szCs w:val="21"/>
        </w:rPr>
        <w:t>第</w:t>
      </w:r>
      <w:r>
        <w:rPr>
          <w:rFonts w:hint="eastAsia" w:asciiTheme="minorEastAsia" w:hAnsiTheme="minorEastAsia" w:eastAsiaTheme="minorEastAsia"/>
          <w:b/>
          <w:bCs/>
          <w:spacing w:val="-10"/>
          <w:sz w:val="21"/>
          <w:szCs w:val="21"/>
        </w:rPr>
        <w:t>三</w:t>
      </w:r>
      <w:r>
        <w:rPr>
          <w:rFonts w:asciiTheme="minorEastAsia" w:hAnsiTheme="minorEastAsia" w:eastAsiaTheme="minorEastAsia"/>
          <w:b/>
          <w:bCs/>
          <w:spacing w:val="-10"/>
          <w:sz w:val="21"/>
          <w:szCs w:val="21"/>
        </w:rPr>
        <w:t>部分 投资相关</w:t>
      </w:r>
    </w:p>
    <w:tbl>
      <w:tblPr>
        <w:tblStyle w:val="21"/>
        <w:tblpPr w:leftFromText="180" w:rightFromText="180" w:vertAnchor="text" w:tblpY="1"/>
        <w:tblOverlap w:val="never"/>
        <w:tblW w:w="4764"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2290"/>
        <w:gridCol w:w="7019"/>
      </w:tblGrid>
      <w:tr w14:paraId="1565F13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29" w:type="pct"/>
            <w:vAlign w:val="center"/>
          </w:tcPr>
          <w:p w14:paraId="4AE4ECED">
            <w:pPr>
              <w:pStyle w:val="20"/>
              <w:spacing w:before="0" w:line="360" w:lineRule="auto"/>
              <w:ind w:left="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投资范围</w:t>
            </w:r>
          </w:p>
        </w:tc>
        <w:tc>
          <w:tcPr>
            <w:tcW w:w="3770" w:type="pct"/>
          </w:tcPr>
          <w:p w14:paraId="461FE90E">
            <w:pPr>
              <w:pStyle w:val="26"/>
              <w:spacing w:line="360" w:lineRule="auto"/>
              <w:ind w:firstLine="420" w:firstLineChars="200"/>
              <w:rPr>
                <w:rFonts w:hint="eastAsia" w:ascii="宋体" w:hAnsi="宋体"/>
                <w:szCs w:val="21"/>
              </w:rPr>
            </w:pPr>
            <w:r>
              <w:rPr>
                <w:rFonts w:hint="eastAsia" w:ascii="宋体" w:hAnsi="宋体"/>
                <w:szCs w:val="21"/>
              </w:rPr>
              <w:t xml:space="preserve">现金、银行存款（包括但不限于定期存款、活期存款）、证券交易所及期货交易所交易的衍生品（包括但不限于期货、期权等）。 </w:t>
            </w:r>
          </w:p>
          <w:p w14:paraId="7EFECE2E">
            <w:pPr>
              <w:pStyle w:val="26"/>
              <w:spacing w:line="360" w:lineRule="auto"/>
              <w:ind w:firstLine="420" w:firstLineChars="200"/>
              <w:rPr>
                <w:rFonts w:asciiTheme="minorEastAsia" w:hAnsiTheme="minorEastAsia" w:eastAsiaTheme="minorEastAsia"/>
                <w:sz w:val="21"/>
                <w:szCs w:val="21"/>
                <w:lang w:val="en-US" w:eastAsia="en-US"/>
              </w:rPr>
            </w:pPr>
            <w:r>
              <w:rPr>
                <w:rFonts w:hint="eastAsia" w:ascii="宋体" w:hAnsi="宋体"/>
                <w:szCs w:val="21"/>
              </w:rPr>
              <w:t>私募基金管理人可根据实际情况调整基金之投资范围，但是应当按照本合同约定的相关合同变更条款的要求对本合同进行变更，若有份额持有人提出异议的，私募基金管理人应及时通过设置临时开放日等方式供其赎回。</w:t>
            </w:r>
          </w:p>
        </w:tc>
      </w:tr>
      <w:tr w14:paraId="3F738A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29" w:type="pct"/>
            <w:vAlign w:val="center"/>
          </w:tcPr>
          <w:p w14:paraId="40747838">
            <w:pPr>
              <w:pStyle w:val="20"/>
              <w:spacing w:before="0" w:line="360" w:lineRule="auto"/>
              <w:ind w:left="0"/>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投资</w:t>
            </w:r>
            <w:r>
              <w:rPr>
                <w:rFonts w:asciiTheme="minorEastAsia" w:hAnsiTheme="minorEastAsia" w:eastAsiaTheme="minorEastAsia"/>
                <w:sz w:val="21"/>
                <w:szCs w:val="21"/>
                <w:lang w:eastAsia="en-US"/>
              </w:rPr>
              <w:t>策略</w:t>
            </w:r>
          </w:p>
        </w:tc>
        <w:tc>
          <w:tcPr>
            <w:tcW w:w="3770" w:type="pct"/>
          </w:tcPr>
          <w:p w14:paraId="604AB8CA">
            <w:pPr>
              <w:pStyle w:val="27"/>
              <w:spacing w:line="360" w:lineRule="auto"/>
              <w:ind w:firstLine="420" w:firstLineChars="200"/>
              <w:jc w:val="left"/>
              <w:rPr>
                <w:rFonts w:asciiTheme="minorEastAsia" w:hAnsiTheme="minorEastAsia" w:eastAsiaTheme="minorEastAsia"/>
                <w:sz w:val="21"/>
                <w:szCs w:val="21"/>
                <w:lang w:val="en-US" w:eastAsia="en-US"/>
              </w:rPr>
            </w:pPr>
            <w:r>
              <w:rPr>
                <w:rFonts w:hint="eastAsia"/>
              </w:rPr>
              <w:t>本基金将根据宏观经济分析和整体市场估值水平的变化自上而下地进行资产配置，在降低市场风险的同时追求更高收益。</w:t>
            </w:r>
          </w:p>
        </w:tc>
      </w:tr>
      <w:tr w14:paraId="3039390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29" w:type="pct"/>
            <w:vAlign w:val="center"/>
          </w:tcPr>
          <w:p w14:paraId="567FEF51">
            <w:pPr>
              <w:pStyle w:val="20"/>
              <w:spacing w:before="0" w:line="360" w:lineRule="auto"/>
              <w:ind w:left="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投资限制</w:t>
            </w:r>
          </w:p>
        </w:tc>
        <w:tc>
          <w:tcPr>
            <w:tcW w:w="3770" w:type="pct"/>
          </w:tcPr>
          <w:p w14:paraId="59F45E86">
            <w:pPr>
              <w:pStyle w:val="28"/>
              <w:spacing w:line="360" w:lineRule="auto"/>
              <w:ind w:firstLine="420" w:firstLineChars="200"/>
              <w:rPr>
                <w:rFonts w:ascii="宋体" w:hAnsi="宋体"/>
                <w:szCs w:val="21"/>
              </w:rPr>
            </w:pPr>
            <w:r>
              <w:rPr>
                <w:rFonts w:hint="eastAsia" w:ascii="宋体" w:hAnsi="宋体"/>
                <w:szCs w:val="21"/>
              </w:rPr>
              <w:t>本基金财产的投资组合应遵循以下限制（本基金</w:t>
            </w:r>
            <w:r>
              <w:rPr>
                <w:rFonts w:ascii="宋体" w:hAnsi="宋体"/>
                <w:szCs w:val="21"/>
              </w:rPr>
              <w:t>自</w:t>
            </w:r>
            <w:r>
              <w:rPr>
                <w:rFonts w:hint="eastAsia" w:ascii="宋体" w:hAnsi="宋体"/>
                <w:szCs w:val="21"/>
              </w:rPr>
              <w:t>进入清算程序</w:t>
            </w:r>
            <w:r>
              <w:rPr>
                <w:rFonts w:ascii="宋体" w:hAnsi="宋体"/>
                <w:szCs w:val="21"/>
              </w:rPr>
              <w:t>后</w:t>
            </w:r>
            <w:r>
              <w:rPr>
                <w:rFonts w:hint="eastAsia" w:ascii="宋体" w:hAnsi="宋体"/>
                <w:szCs w:val="21"/>
              </w:rPr>
              <w:t>无需遵循</w:t>
            </w:r>
            <w:r>
              <w:rPr>
                <w:rFonts w:ascii="宋体" w:hAnsi="宋体"/>
                <w:szCs w:val="21"/>
              </w:rPr>
              <w:t>以下投资</w:t>
            </w:r>
            <w:r>
              <w:rPr>
                <w:rFonts w:hint="eastAsia" w:ascii="宋体" w:hAnsi="宋体"/>
                <w:szCs w:val="21"/>
              </w:rPr>
              <w:t>比例</w:t>
            </w:r>
            <w:r>
              <w:rPr>
                <w:rFonts w:ascii="宋体" w:hAnsi="宋体"/>
                <w:szCs w:val="21"/>
              </w:rPr>
              <w:t>限制）</w:t>
            </w:r>
            <w:r>
              <w:rPr>
                <w:rFonts w:hint="eastAsia" w:ascii="宋体" w:hAnsi="宋体"/>
                <w:szCs w:val="21"/>
              </w:rPr>
              <w:t>：</w:t>
            </w:r>
          </w:p>
          <w:p w14:paraId="37B647B4">
            <w:pPr>
              <w:pStyle w:val="29"/>
              <w:numPr>
                <w:ilvl w:val="0"/>
                <w:numId w:val="1"/>
              </w:numPr>
              <w:spacing w:line="360" w:lineRule="auto"/>
              <w:ind w:left="0" w:firstLine="420"/>
            </w:pPr>
            <w:r>
              <w:rPr>
                <w:rFonts w:hint="eastAsia"/>
              </w:rPr>
              <w:t>本基金的基金资产总值占基金资产净值的比例不得超过</w:t>
            </w:r>
            <w:r>
              <w:rPr>
                <w:rFonts w:hint="eastAsia"/>
                <w:lang w:val="en-US" w:eastAsia="zh-CN"/>
              </w:rPr>
              <w:t>14</w:t>
            </w:r>
            <w:r>
              <w:rPr>
                <w:rFonts w:hint="eastAsia"/>
              </w:rPr>
              <w:t>0%；</w:t>
            </w:r>
          </w:p>
          <w:p w14:paraId="5ED79073">
            <w:pPr>
              <w:pStyle w:val="27"/>
              <w:spacing w:line="360" w:lineRule="auto"/>
              <w:ind w:firstLine="422" w:firstLineChars="200"/>
              <w:rPr>
                <w:rFonts w:asciiTheme="minorEastAsia" w:hAnsiTheme="minorEastAsia" w:eastAsiaTheme="minorEastAsia"/>
                <w:sz w:val="21"/>
                <w:szCs w:val="21"/>
                <w:lang w:val="en-US" w:eastAsia="en-US"/>
              </w:rPr>
            </w:pPr>
            <w:r>
              <w:rPr>
                <w:rFonts w:hint="eastAsia" w:ascii="宋体" w:hAnsi="宋体"/>
                <w:b/>
                <w:bCs/>
                <w:szCs w:val="21"/>
              </w:rPr>
              <w:t>以上投资比例及限制中，如涉及新股新债申购的申报金额与数量、盘中监控、穿透审查或合并计算、交易策略类等监控事项的，由私募基金管理人自行监控，私募基金托管人不承担投资监督职责。</w:t>
            </w:r>
          </w:p>
        </w:tc>
      </w:tr>
      <w:tr w14:paraId="1223DCF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29" w:type="pct"/>
            <w:vAlign w:val="center"/>
          </w:tcPr>
          <w:p w14:paraId="188E36C7">
            <w:pPr>
              <w:pStyle w:val="20"/>
              <w:spacing w:before="0" w:line="360" w:lineRule="auto"/>
              <w:ind w:left="0"/>
              <w:jc w:val="center"/>
              <w:rPr>
                <w:rFonts w:asciiTheme="minorEastAsia" w:hAnsiTheme="minorEastAsia" w:eastAsiaTheme="minorEastAsia"/>
                <w:sz w:val="21"/>
                <w:szCs w:val="21"/>
                <w:lang w:eastAsia="en-US"/>
              </w:rPr>
            </w:pPr>
            <w:bookmarkStart w:id="0" w:name="_GoBack"/>
            <w:bookmarkEnd w:id="0"/>
            <w:r>
              <w:rPr>
                <w:rFonts w:asciiTheme="minorEastAsia" w:hAnsiTheme="minorEastAsia" w:eastAsiaTheme="minorEastAsia"/>
                <w:sz w:val="21"/>
                <w:szCs w:val="21"/>
                <w:lang w:eastAsia="en-US"/>
              </w:rPr>
              <w:t>风险等级</w:t>
            </w:r>
          </w:p>
        </w:tc>
        <w:tc>
          <w:tcPr>
            <w:tcW w:w="3770" w:type="pct"/>
          </w:tcPr>
          <w:p w14:paraId="576A40A7">
            <w:pPr>
              <w:pStyle w:val="20"/>
              <w:spacing w:before="90" w:line="360" w:lineRule="auto"/>
              <w:ind w:left="0"/>
              <w:jc w:val="center"/>
              <w:rPr>
                <w:rFonts w:asciiTheme="minorEastAsia" w:hAnsiTheme="minorEastAsia" w:eastAsiaTheme="minorEastAsia"/>
                <w:sz w:val="21"/>
                <w:szCs w:val="21"/>
                <w:lang w:val="en-US" w:eastAsia="en-US"/>
              </w:rPr>
            </w:pPr>
            <w:r>
              <w:rPr>
                <w:rFonts w:asciiTheme="minorEastAsia" w:hAnsiTheme="minorEastAsia" w:eastAsiaTheme="minorEastAsia"/>
                <w:sz w:val="21"/>
                <w:szCs w:val="21"/>
                <w:lang w:val="en-US" w:eastAsia="en-US"/>
              </w:rPr>
              <w:t>R4</w:t>
            </w:r>
          </w:p>
        </w:tc>
      </w:tr>
      <w:tr w14:paraId="58A0BC4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29" w:type="pct"/>
            <w:vAlign w:val="center"/>
          </w:tcPr>
          <w:p w14:paraId="64D23708">
            <w:pPr>
              <w:pStyle w:val="20"/>
              <w:spacing w:before="0" w:line="360" w:lineRule="auto"/>
              <w:ind w:left="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预警线</w:t>
            </w:r>
          </w:p>
        </w:tc>
        <w:tc>
          <w:tcPr>
            <w:tcW w:w="3770" w:type="pct"/>
          </w:tcPr>
          <w:p w14:paraId="08DAC50F">
            <w:pPr>
              <w:pStyle w:val="20"/>
              <w:spacing w:before="90" w:line="360" w:lineRule="auto"/>
              <w:ind w:left="0"/>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0.900</w:t>
            </w:r>
          </w:p>
        </w:tc>
      </w:tr>
      <w:tr w14:paraId="725E7CA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29" w:type="pct"/>
            <w:vAlign w:val="center"/>
          </w:tcPr>
          <w:p w14:paraId="4F464872">
            <w:pPr>
              <w:pStyle w:val="20"/>
              <w:spacing w:before="0" w:line="360" w:lineRule="auto"/>
              <w:ind w:left="0"/>
              <w:jc w:val="center"/>
              <w:rPr>
                <w:rFonts w:asciiTheme="minorEastAsia" w:hAnsiTheme="minorEastAsia" w:eastAsiaTheme="minorEastAsia"/>
                <w:b/>
                <w:bCs/>
                <w:sz w:val="21"/>
                <w:szCs w:val="21"/>
                <w:lang w:eastAsia="en-US"/>
              </w:rPr>
            </w:pPr>
            <w:r>
              <w:rPr>
                <w:rFonts w:asciiTheme="minorEastAsia" w:hAnsiTheme="minorEastAsia" w:eastAsiaTheme="minorEastAsia"/>
                <w:sz w:val="21"/>
                <w:szCs w:val="21"/>
                <w:lang w:eastAsia="en-US"/>
              </w:rPr>
              <w:t>止损线</w:t>
            </w:r>
          </w:p>
        </w:tc>
        <w:tc>
          <w:tcPr>
            <w:tcW w:w="3770" w:type="pct"/>
          </w:tcPr>
          <w:p w14:paraId="1A1B9E63">
            <w:pPr>
              <w:pStyle w:val="20"/>
              <w:spacing w:before="90" w:line="360" w:lineRule="auto"/>
              <w:ind w:left="0"/>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0.800</w:t>
            </w:r>
          </w:p>
        </w:tc>
      </w:tr>
      <w:tr w14:paraId="060549B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229" w:type="pct"/>
            <w:vAlign w:val="center"/>
          </w:tcPr>
          <w:p w14:paraId="4A233230">
            <w:pPr>
              <w:pStyle w:val="20"/>
              <w:spacing w:before="0" w:line="360" w:lineRule="auto"/>
              <w:ind w:left="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投资经理简介</w:t>
            </w:r>
          </w:p>
        </w:tc>
        <w:tc>
          <w:tcPr>
            <w:tcW w:w="3770" w:type="pct"/>
            <w:vAlign w:val="center"/>
          </w:tcPr>
          <w:p w14:paraId="1AC77D75">
            <w:pPr>
              <w:pStyle w:val="20"/>
              <w:spacing w:before="4" w:line="360" w:lineRule="auto"/>
              <w:ind w:left="0"/>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蔡斐斐，长期从事数据分析、投资策略建模等科研工作，其个人及其领导的技术团队有丰富的量化投资领域的技术工作经验。</w:t>
            </w:r>
          </w:p>
        </w:tc>
      </w:tr>
    </w:tbl>
    <w:p w14:paraId="43E8091E">
      <w:pPr>
        <w:pStyle w:val="4"/>
        <w:spacing w:before="167" w:after="22" w:line="360" w:lineRule="auto"/>
        <w:ind w:left="0"/>
        <w:rPr>
          <w:rFonts w:asciiTheme="minorEastAsia" w:hAnsiTheme="minorEastAsia" w:eastAsiaTheme="minorEastAsia"/>
          <w:b/>
          <w:bCs/>
          <w:spacing w:val="-10"/>
          <w:sz w:val="21"/>
          <w:szCs w:val="21"/>
        </w:rPr>
      </w:pPr>
      <w:r>
        <w:rPr>
          <w:rFonts w:asciiTheme="minorEastAsia" w:hAnsiTheme="minorEastAsia" w:eastAsiaTheme="minorEastAsia"/>
          <w:b/>
          <w:bCs/>
          <w:spacing w:val="-10"/>
          <w:sz w:val="21"/>
          <w:szCs w:val="21"/>
        </w:rPr>
        <w:t>第</w:t>
      </w:r>
      <w:r>
        <w:rPr>
          <w:rFonts w:hint="eastAsia" w:asciiTheme="minorEastAsia" w:hAnsiTheme="minorEastAsia" w:eastAsiaTheme="minorEastAsia"/>
          <w:b/>
          <w:bCs/>
          <w:spacing w:val="-10"/>
          <w:sz w:val="21"/>
          <w:szCs w:val="21"/>
        </w:rPr>
        <w:t>四</w:t>
      </w:r>
      <w:r>
        <w:rPr>
          <w:rFonts w:asciiTheme="minorEastAsia" w:hAnsiTheme="minorEastAsia" w:eastAsiaTheme="minorEastAsia"/>
          <w:b/>
          <w:bCs/>
          <w:spacing w:val="-10"/>
          <w:sz w:val="21"/>
          <w:szCs w:val="21"/>
        </w:rPr>
        <w:t xml:space="preserve">部分 </w:t>
      </w:r>
      <w:r>
        <w:rPr>
          <w:rFonts w:hint="eastAsia" w:asciiTheme="minorEastAsia" w:hAnsiTheme="minorEastAsia" w:eastAsiaTheme="minorEastAsia"/>
          <w:b/>
          <w:bCs/>
          <w:spacing w:val="-10"/>
          <w:sz w:val="21"/>
          <w:szCs w:val="21"/>
        </w:rPr>
        <w:t>管理人联系方式</w:t>
      </w:r>
    </w:p>
    <w:tbl>
      <w:tblPr>
        <w:tblStyle w:val="16"/>
        <w:tblW w:w="475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2376"/>
        <w:gridCol w:w="7082"/>
      </w:tblGrid>
      <w:tr w14:paraId="52BCA38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256" w:type="pct"/>
          </w:tcPr>
          <w:p w14:paraId="7760CE47">
            <w:pPr>
              <w:spacing w:line="36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管理人联系人</w:t>
            </w:r>
          </w:p>
        </w:tc>
        <w:tc>
          <w:tcPr>
            <w:tcW w:w="3744" w:type="pct"/>
          </w:tcPr>
          <w:p w14:paraId="3B53DC61">
            <w:pPr>
              <w:pStyle w:val="20"/>
              <w:spacing w:line="360" w:lineRule="auto"/>
              <w:ind w:left="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蔡斐斐</w:t>
            </w:r>
          </w:p>
        </w:tc>
      </w:tr>
      <w:tr w14:paraId="638390D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256" w:type="pct"/>
          </w:tcPr>
          <w:p w14:paraId="0F500B20">
            <w:pPr>
              <w:spacing w:line="36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管理人联系人电话</w:t>
            </w:r>
          </w:p>
        </w:tc>
        <w:tc>
          <w:tcPr>
            <w:tcW w:w="3744" w:type="pct"/>
          </w:tcPr>
          <w:p w14:paraId="4ED413E5">
            <w:pPr>
              <w:pStyle w:val="20"/>
              <w:spacing w:line="360" w:lineRule="auto"/>
              <w:ind w:left="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13606407045</w:t>
            </w:r>
          </w:p>
        </w:tc>
      </w:tr>
      <w:tr w14:paraId="5A2B998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256" w:type="pct"/>
          </w:tcPr>
          <w:p w14:paraId="0E1966E8">
            <w:pPr>
              <w:spacing w:line="36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管理人联系地址</w:t>
            </w:r>
          </w:p>
        </w:tc>
        <w:tc>
          <w:tcPr>
            <w:tcW w:w="3744" w:type="pct"/>
          </w:tcPr>
          <w:p w14:paraId="6836264F">
            <w:pPr>
              <w:pStyle w:val="20"/>
              <w:spacing w:line="360" w:lineRule="auto"/>
              <w:ind w:left="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山东省济南市历下区泺源大街8号绿城金融中心B-</w:t>
            </w: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rPr>
              <w:t>03</w:t>
            </w:r>
          </w:p>
        </w:tc>
      </w:tr>
    </w:tbl>
    <w:p w14:paraId="69FF9E68">
      <w:pPr>
        <w:jc w:val="center"/>
        <w:rPr>
          <w:rFonts w:asciiTheme="minorEastAsia" w:hAnsiTheme="minorEastAsia" w:eastAsiaTheme="minorEastAsia"/>
          <w:sz w:val="21"/>
          <w:szCs w:val="21"/>
        </w:rPr>
      </w:pPr>
    </w:p>
    <w:sectPr>
      <w:pgSz w:w="1190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B4F47"/>
    <w:multiLevelType w:val="multilevel"/>
    <w:tmpl w:val="00EB4F47"/>
    <w:lvl w:ilvl="0" w:tentative="0">
      <w:start w:val="1"/>
      <w:numFmt w:val="decimal"/>
      <w:suff w:val="space"/>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yOGQ5NDlmMTZkYThiODM1MDZjN2RlZGE3OTM5YjEifQ=="/>
  </w:docVars>
  <w:rsids>
    <w:rsidRoot w:val="5D0B41BC"/>
    <w:rsid w:val="0001247D"/>
    <w:rsid w:val="000C614F"/>
    <w:rsid w:val="000E3346"/>
    <w:rsid w:val="0012377E"/>
    <w:rsid w:val="001269BD"/>
    <w:rsid w:val="00130A3A"/>
    <w:rsid w:val="00165AB0"/>
    <w:rsid w:val="00195D1E"/>
    <w:rsid w:val="00217956"/>
    <w:rsid w:val="00233343"/>
    <w:rsid w:val="00267D50"/>
    <w:rsid w:val="0027272B"/>
    <w:rsid w:val="002B3982"/>
    <w:rsid w:val="002F5798"/>
    <w:rsid w:val="00306E86"/>
    <w:rsid w:val="00352F26"/>
    <w:rsid w:val="00361CF6"/>
    <w:rsid w:val="00365460"/>
    <w:rsid w:val="00380188"/>
    <w:rsid w:val="00383853"/>
    <w:rsid w:val="003B7F0A"/>
    <w:rsid w:val="003C0283"/>
    <w:rsid w:val="003F00A1"/>
    <w:rsid w:val="003F0F13"/>
    <w:rsid w:val="00413AD2"/>
    <w:rsid w:val="00462BC7"/>
    <w:rsid w:val="00465994"/>
    <w:rsid w:val="00466712"/>
    <w:rsid w:val="004E5F9D"/>
    <w:rsid w:val="004F0536"/>
    <w:rsid w:val="005134EB"/>
    <w:rsid w:val="005445BC"/>
    <w:rsid w:val="005515B3"/>
    <w:rsid w:val="00583B97"/>
    <w:rsid w:val="005F6615"/>
    <w:rsid w:val="00605493"/>
    <w:rsid w:val="00606891"/>
    <w:rsid w:val="006202BC"/>
    <w:rsid w:val="00624643"/>
    <w:rsid w:val="00630293"/>
    <w:rsid w:val="00637893"/>
    <w:rsid w:val="006B0733"/>
    <w:rsid w:val="006B5678"/>
    <w:rsid w:val="006B608F"/>
    <w:rsid w:val="006C2F8B"/>
    <w:rsid w:val="006C69E0"/>
    <w:rsid w:val="00740DDD"/>
    <w:rsid w:val="00744CB2"/>
    <w:rsid w:val="0076014B"/>
    <w:rsid w:val="007659BB"/>
    <w:rsid w:val="00787C37"/>
    <w:rsid w:val="007B3FE6"/>
    <w:rsid w:val="007E5644"/>
    <w:rsid w:val="0082501E"/>
    <w:rsid w:val="008348D5"/>
    <w:rsid w:val="008628B2"/>
    <w:rsid w:val="008B4449"/>
    <w:rsid w:val="00911BF0"/>
    <w:rsid w:val="00951F46"/>
    <w:rsid w:val="00981E23"/>
    <w:rsid w:val="009B662F"/>
    <w:rsid w:val="009D49EB"/>
    <w:rsid w:val="009F3D88"/>
    <w:rsid w:val="009F5A4D"/>
    <w:rsid w:val="00A20911"/>
    <w:rsid w:val="00A26A95"/>
    <w:rsid w:val="00A27516"/>
    <w:rsid w:val="00A353BA"/>
    <w:rsid w:val="00A43DD2"/>
    <w:rsid w:val="00A45176"/>
    <w:rsid w:val="00A573F5"/>
    <w:rsid w:val="00A65FC3"/>
    <w:rsid w:val="00AC12FE"/>
    <w:rsid w:val="00B06FCB"/>
    <w:rsid w:val="00B6760A"/>
    <w:rsid w:val="00BE705B"/>
    <w:rsid w:val="00BE7E10"/>
    <w:rsid w:val="00BF6EBD"/>
    <w:rsid w:val="00C803C1"/>
    <w:rsid w:val="00CE01F0"/>
    <w:rsid w:val="00D3080B"/>
    <w:rsid w:val="00D55B7D"/>
    <w:rsid w:val="00D702FB"/>
    <w:rsid w:val="00D747E7"/>
    <w:rsid w:val="00D81246"/>
    <w:rsid w:val="00DA305F"/>
    <w:rsid w:val="00DC20F0"/>
    <w:rsid w:val="00E3641F"/>
    <w:rsid w:val="00E51554"/>
    <w:rsid w:val="00E66C51"/>
    <w:rsid w:val="00EC2F27"/>
    <w:rsid w:val="00ED3A9F"/>
    <w:rsid w:val="00ED72F5"/>
    <w:rsid w:val="00EE4712"/>
    <w:rsid w:val="00F665B3"/>
    <w:rsid w:val="00F879AB"/>
    <w:rsid w:val="08FE5D07"/>
    <w:rsid w:val="09F84DAB"/>
    <w:rsid w:val="0C566E98"/>
    <w:rsid w:val="0CB3219A"/>
    <w:rsid w:val="0EF32B5E"/>
    <w:rsid w:val="0FA82755"/>
    <w:rsid w:val="0FA942FD"/>
    <w:rsid w:val="136F505B"/>
    <w:rsid w:val="16EE4749"/>
    <w:rsid w:val="1B1E57EA"/>
    <w:rsid w:val="1D6433D2"/>
    <w:rsid w:val="26627814"/>
    <w:rsid w:val="2ADE30F8"/>
    <w:rsid w:val="31C20573"/>
    <w:rsid w:val="39FA4E51"/>
    <w:rsid w:val="3C3C2E61"/>
    <w:rsid w:val="41A446AA"/>
    <w:rsid w:val="48EC186F"/>
    <w:rsid w:val="49FE0702"/>
    <w:rsid w:val="4B165633"/>
    <w:rsid w:val="50434CEA"/>
    <w:rsid w:val="53613B74"/>
    <w:rsid w:val="56617713"/>
    <w:rsid w:val="579D06AC"/>
    <w:rsid w:val="5C8F15BB"/>
    <w:rsid w:val="5CF6623B"/>
    <w:rsid w:val="5D0B41BC"/>
    <w:rsid w:val="606A7C57"/>
    <w:rsid w:val="62B230F8"/>
    <w:rsid w:val="632676FF"/>
    <w:rsid w:val="649F5037"/>
    <w:rsid w:val="650B1E2C"/>
    <w:rsid w:val="698D5A39"/>
    <w:rsid w:val="773B501C"/>
    <w:rsid w:val="782B0B51"/>
    <w:rsid w:val="7A696351"/>
    <w:rsid w:val="7BE00D73"/>
    <w:rsid w:val="7BFF78C9"/>
    <w:rsid w:val="7E5B7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7"/>
    <w:basedOn w:val="1"/>
    <w:autoRedefine/>
    <w:unhideWhenUsed/>
    <w:qFormat/>
    <w:uiPriority w:val="39"/>
    <w:pPr>
      <w:spacing w:after="100"/>
      <w:ind w:left="1320"/>
    </w:pPr>
  </w:style>
  <w:style w:type="paragraph" w:styleId="3">
    <w:name w:val="annotation text"/>
    <w:basedOn w:val="1"/>
    <w:semiHidden/>
    <w:unhideWhenUsed/>
    <w:qFormat/>
    <w:uiPriority w:val="99"/>
  </w:style>
  <w:style w:type="paragraph" w:styleId="4">
    <w:name w:val="Body Text"/>
    <w:basedOn w:val="1"/>
    <w:qFormat/>
    <w:uiPriority w:val="1"/>
    <w:pPr>
      <w:ind w:left="100"/>
    </w:pPr>
    <w:rPr>
      <w:sz w:val="26"/>
      <w:szCs w:val="26"/>
    </w:rPr>
  </w:style>
  <w:style w:type="paragraph" w:styleId="5">
    <w:name w:val="toc 5"/>
    <w:basedOn w:val="1"/>
    <w:autoRedefine/>
    <w:unhideWhenUsed/>
    <w:qFormat/>
    <w:uiPriority w:val="39"/>
    <w:pPr>
      <w:spacing w:after="100"/>
      <w:ind w:left="880"/>
    </w:pPr>
  </w:style>
  <w:style w:type="paragraph" w:styleId="6">
    <w:name w:val="toc 3"/>
    <w:basedOn w:val="1"/>
    <w:autoRedefine/>
    <w:unhideWhenUsed/>
    <w:qFormat/>
    <w:uiPriority w:val="39"/>
    <w:pPr>
      <w:spacing w:after="100"/>
      <w:ind w:left="440"/>
    </w:pPr>
  </w:style>
  <w:style w:type="paragraph" w:styleId="7">
    <w:name w:val="toc 8"/>
    <w:basedOn w:val="1"/>
    <w:autoRedefine/>
    <w:unhideWhenUsed/>
    <w:qFormat/>
    <w:uiPriority w:val="39"/>
    <w:pPr>
      <w:spacing w:after="100"/>
      <w:ind w:left="1540"/>
    </w:pPr>
  </w:style>
  <w:style w:type="paragraph" w:styleId="8">
    <w:name w:val="footer"/>
    <w:basedOn w:val="1"/>
    <w:link w:val="24"/>
    <w:qFormat/>
    <w:uiPriority w:val="0"/>
    <w:pPr>
      <w:tabs>
        <w:tab w:val="center" w:pos="4153"/>
        <w:tab w:val="right" w:pos="8306"/>
      </w:tabs>
      <w:snapToGrid w:val="0"/>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autoRedefine/>
    <w:unhideWhenUsed/>
    <w:qFormat/>
    <w:uiPriority w:val="39"/>
    <w:pPr>
      <w:spacing w:after="100"/>
    </w:pPr>
  </w:style>
  <w:style w:type="paragraph" w:styleId="11">
    <w:name w:val="toc 4"/>
    <w:basedOn w:val="1"/>
    <w:autoRedefine/>
    <w:unhideWhenUsed/>
    <w:qFormat/>
    <w:uiPriority w:val="39"/>
    <w:pPr>
      <w:spacing w:after="100"/>
      <w:ind w:left="660"/>
    </w:pPr>
  </w:style>
  <w:style w:type="paragraph" w:styleId="12">
    <w:name w:val="toc 6"/>
    <w:basedOn w:val="1"/>
    <w:autoRedefine/>
    <w:unhideWhenUsed/>
    <w:qFormat/>
    <w:uiPriority w:val="39"/>
    <w:pPr>
      <w:spacing w:after="100"/>
      <w:ind w:left="1100"/>
    </w:pPr>
  </w:style>
  <w:style w:type="paragraph" w:styleId="13">
    <w:name w:val="toc 2"/>
    <w:basedOn w:val="1"/>
    <w:autoRedefine/>
    <w:unhideWhenUsed/>
    <w:qFormat/>
    <w:uiPriority w:val="39"/>
    <w:pPr>
      <w:spacing w:after="100"/>
      <w:ind w:left="220"/>
    </w:pPr>
  </w:style>
  <w:style w:type="paragraph" w:styleId="14">
    <w:name w:val="toc 9"/>
    <w:basedOn w:val="1"/>
    <w:autoRedefine/>
    <w:unhideWhenUsed/>
    <w:qFormat/>
    <w:uiPriority w:val="39"/>
    <w:pPr>
      <w:spacing w:after="100"/>
      <w:ind w:left="1760"/>
    </w:p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paragraph" w:customStyle="1" w:styleId="20">
    <w:name w:val="Table Paragraph"/>
    <w:basedOn w:val="1"/>
    <w:qFormat/>
    <w:uiPriority w:val="1"/>
    <w:pPr>
      <w:spacing w:before="95"/>
      <w:ind w:left="40"/>
    </w:pPr>
  </w:style>
  <w:style w:type="table" w:customStyle="1" w:styleId="21">
    <w:name w:val="Table Normal_0"/>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styleId="22">
    <w:name w:val="Placeholder Text"/>
    <w:basedOn w:val="17"/>
    <w:qFormat/>
    <w:uiPriority w:val="99"/>
    <w:rPr>
      <w:color w:val="808080"/>
    </w:rPr>
  </w:style>
  <w:style w:type="character" w:customStyle="1" w:styleId="23">
    <w:name w:val="页眉 字符"/>
    <w:basedOn w:val="17"/>
    <w:link w:val="9"/>
    <w:qFormat/>
    <w:uiPriority w:val="0"/>
    <w:rPr>
      <w:rFonts w:ascii="宋体" w:hAnsi="宋体" w:cs="宋体"/>
      <w:sz w:val="18"/>
      <w:szCs w:val="18"/>
      <w:lang w:val="zh-CN" w:bidi="zh-CN"/>
    </w:rPr>
  </w:style>
  <w:style w:type="character" w:customStyle="1" w:styleId="24">
    <w:name w:val="页脚 字符"/>
    <w:basedOn w:val="17"/>
    <w:link w:val="8"/>
    <w:qFormat/>
    <w:uiPriority w:val="0"/>
    <w:rPr>
      <w:rFonts w:ascii="宋体" w:hAnsi="宋体" w:cs="宋体"/>
      <w:sz w:val="18"/>
      <w:szCs w:val="18"/>
      <w:lang w:val="zh-CN" w:bidi="zh-CN"/>
    </w:rPr>
  </w:style>
  <w:style w:type="paragraph" w:styleId="25">
    <w:name w:val="List Paragraph"/>
    <w:basedOn w:val="1"/>
    <w:qFormat/>
    <w:uiPriority w:val="99"/>
    <w:pPr>
      <w:autoSpaceDE/>
      <w:autoSpaceDN/>
      <w:ind w:firstLine="420" w:firstLineChars="200"/>
      <w:jc w:val="both"/>
    </w:pPr>
    <w:rPr>
      <w:rFonts w:ascii="Times New Roman" w:hAnsi="Times New Roman" w:cs="Times New Roman"/>
      <w:kern w:val="2"/>
      <w:sz w:val="21"/>
      <w:szCs w:val="24"/>
      <w:lang w:val="en-US" w:bidi="ar-SA"/>
    </w:rPr>
  </w:style>
  <w:style w:type="paragraph" w:customStyle="1" w:styleId="26">
    <w:name w:val="a-BR40755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a-BR84660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a-BR38005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a9-BR380056"/>
    <w:basedOn w:val="28"/>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3547</Words>
  <Characters>3683</Characters>
  <Lines>9</Lines>
  <Paragraphs>2</Paragraphs>
  <TotalTime>0</TotalTime>
  <ScaleCrop>false</ScaleCrop>
  <LinksUpToDate>false</LinksUpToDate>
  <CharactersWithSpaces>3689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2023-03-22T01:45:00Z</dcterms:created>
  <dc:creator>User</dc:creator>
  <cp:lastModifiedBy>CRYSTAL</cp:lastModifiedBy>
  <dcterms:modified xsi:type="dcterms:W3CDTF">2024-11-21T02:06:53Z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5BF56DF39202460FAE9C66C1111D9911</vt:lpwstr>
  </property>
  <property fmtid="{D5CDD505-2E9C-101B-9397-08002B2CF9AE}" pid="3" name="KSOProductBuildVer">
    <vt:lpwstr>2052-12.1.0.18608</vt:lpwstr>
  </property>
</Properties>
</file>