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EFA0C">
      <w:pPr>
        <w:adjustRightInd w:val="0"/>
        <w:snapToGrid w:val="0"/>
        <w:jc w:val="center"/>
        <w:rPr>
          <w:rFonts w:ascii="宋体" w:hAnsi="宋体" w:eastAsia="宋体"/>
          <w:b/>
          <w:sz w:val="44"/>
          <w:szCs w:val="44"/>
        </w:rPr>
      </w:pPr>
      <w:r>
        <w:rPr>
          <w:rFonts w:hint="eastAsia" w:ascii="宋体" w:hAnsi="宋体" w:eastAsia="宋体"/>
          <w:b/>
          <w:sz w:val="44"/>
          <w:szCs w:val="44"/>
        </w:rPr>
        <w:t>泉智</w:t>
      </w:r>
      <w:r>
        <w:rPr>
          <w:rFonts w:hint="eastAsia" w:ascii="宋体" w:hAnsi="宋体" w:eastAsia="宋体"/>
          <w:b/>
          <w:sz w:val="44"/>
          <w:szCs w:val="44"/>
          <w:lang w:eastAsia="zh-CN"/>
        </w:rPr>
        <w:t>精选多策略</w:t>
      </w:r>
      <w:r>
        <w:rPr>
          <w:rFonts w:hint="eastAsia" w:ascii="宋体" w:hAnsi="宋体" w:eastAsia="宋体"/>
          <w:b/>
          <w:sz w:val="44"/>
          <w:szCs w:val="44"/>
          <w:lang w:val="en-US" w:eastAsia="zh-CN"/>
        </w:rPr>
        <w:t>2</w:t>
      </w:r>
      <w:r>
        <w:rPr>
          <w:rFonts w:hint="eastAsia" w:ascii="宋体" w:hAnsi="宋体" w:eastAsia="宋体"/>
          <w:b/>
          <w:sz w:val="44"/>
          <w:szCs w:val="44"/>
        </w:rPr>
        <w:t>号私募证券投资基金</w:t>
      </w:r>
      <w:r>
        <w:rPr>
          <w:rFonts w:ascii="宋体" w:hAnsi="宋体" w:eastAsia="宋体"/>
          <w:b/>
          <w:sz w:val="44"/>
          <w:szCs w:val="44"/>
        </w:rPr>
        <w:t>募集说明书</w:t>
      </w:r>
    </w:p>
    <w:p w14:paraId="176B7581">
      <w:pPr>
        <w:adjustRightInd w:val="0"/>
        <w:snapToGrid w:val="0"/>
        <w:jc w:val="center"/>
        <w:rPr>
          <w:rFonts w:ascii="宋体" w:hAnsi="宋体" w:eastAsia="宋体"/>
          <w:color w:val="0C0C0C" w:themeColor="text1" w:themeTint="F2"/>
          <w:sz w:val="30"/>
          <w:szCs w:val="30"/>
        </w:rPr>
      </w:pPr>
      <w:r>
        <w:rPr>
          <w:rFonts w:hint="eastAsia" w:ascii="宋体" w:hAnsi="宋体" w:eastAsia="宋体"/>
          <w:color w:val="0C0C0C" w:themeColor="text1" w:themeTint="F2"/>
          <w:sz w:val="30"/>
          <w:szCs w:val="30"/>
        </w:rPr>
        <w:t>基金管理人：</w:t>
      </w:r>
      <w:r>
        <w:rPr>
          <w:rFonts w:hint="eastAsia" w:ascii="宋体" w:hAnsi="宋体" w:eastAsia="宋体"/>
          <w:color w:val="0C0C0C" w:themeColor="text1" w:themeTint="F2"/>
          <w:sz w:val="30"/>
          <w:szCs w:val="30"/>
          <w:lang w:eastAsia="zh-CN"/>
        </w:rPr>
        <w:t>晋江泉智私募基金管理有限</w:t>
      </w:r>
      <w:r>
        <w:rPr>
          <w:rFonts w:hint="eastAsia" w:ascii="宋体" w:hAnsi="宋体" w:eastAsia="宋体"/>
          <w:color w:val="0C0C0C" w:themeColor="text1" w:themeTint="F2"/>
          <w:sz w:val="30"/>
          <w:szCs w:val="30"/>
        </w:rPr>
        <w:t>公司</w:t>
      </w:r>
    </w:p>
    <w:tbl>
      <w:tblPr>
        <w:tblStyle w:val="11"/>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
        <w:gridCol w:w="896"/>
        <w:gridCol w:w="8947"/>
      </w:tblGrid>
      <w:tr w14:paraId="262A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7" w:type="dxa"/>
            <w:gridSpan w:val="3"/>
            <w:tcMar>
              <w:left w:w="28" w:type="dxa"/>
              <w:right w:w="28" w:type="dxa"/>
            </w:tcMar>
          </w:tcPr>
          <w:p w14:paraId="108792DC">
            <w:pPr>
              <w:adjustRightInd w:val="0"/>
              <w:snapToGrid w:val="0"/>
              <w:ind w:firstLine="420"/>
              <w:rPr>
                <w:rFonts w:ascii="宋体" w:hAnsi="宋体" w:eastAsia="宋体"/>
                <w:b/>
                <w:szCs w:val="23"/>
              </w:rPr>
            </w:pPr>
            <w:r>
              <w:rPr>
                <w:rFonts w:hint="eastAsia" w:ascii="宋体" w:hAnsi="宋体" w:eastAsia="宋体"/>
                <w:b/>
                <w:szCs w:val="23"/>
              </w:rPr>
              <w:t>重要提示：</w:t>
            </w:r>
          </w:p>
          <w:p w14:paraId="3C19AFDA">
            <w:pPr>
              <w:adjustRightInd w:val="0"/>
              <w:snapToGrid w:val="0"/>
              <w:ind w:firstLine="420"/>
              <w:rPr>
                <w:rFonts w:ascii="宋体" w:hAnsi="宋体" w:eastAsia="宋体"/>
                <w:szCs w:val="23"/>
              </w:rPr>
            </w:pPr>
            <w:r>
              <w:rPr>
                <w:rFonts w:hint="eastAsia" w:ascii="宋体" w:hAnsi="宋体" w:eastAsia="宋体"/>
                <w:szCs w:val="23"/>
              </w:rPr>
              <w:t>本说明书属于商业信息，仅向特定对象出示，除经本基金的管理人</w:t>
            </w:r>
            <w:r>
              <w:rPr>
                <w:rFonts w:ascii="宋体" w:hAnsi="宋体" w:eastAsia="宋体"/>
                <w:szCs w:val="23"/>
              </w:rPr>
              <w:t>BB公司授权，任何机构和个人不得复制、复印或向第三方转载或传播本说明书的全部或部分内容。</w:t>
            </w:r>
          </w:p>
          <w:p w14:paraId="407C254C">
            <w:pPr>
              <w:adjustRightInd w:val="0"/>
              <w:snapToGrid w:val="0"/>
              <w:ind w:firstLine="420"/>
              <w:rPr>
                <w:rFonts w:ascii="宋体" w:hAnsi="宋体" w:eastAsia="宋体"/>
                <w:szCs w:val="23"/>
              </w:rPr>
            </w:pPr>
            <w:r>
              <w:rPr>
                <w:rFonts w:hint="eastAsia" w:ascii="宋体" w:hAnsi="宋体" w:eastAsia="宋体"/>
                <w:szCs w:val="23"/>
              </w:rPr>
              <w:t>本说明书系提供给潜在投资者的保密文件，以便于潜在投资者考虑投资指定的基金，不可用于其他用途。</w:t>
            </w:r>
          </w:p>
          <w:p w14:paraId="75AFAC0C">
            <w:pPr>
              <w:adjustRightInd w:val="0"/>
              <w:snapToGrid w:val="0"/>
              <w:ind w:firstLine="420"/>
              <w:rPr>
                <w:rFonts w:ascii="宋体" w:hAnsi="宋体" w:eastAsia="宋体"/>
                <w:szCs w:val="23"/>
              </w:rPr>
            </w:pPr>
            <w:r>
              <w:rPr>
                <w:rFonts w:hint="eastAsia" w:ascii="宋体" w:hAnsi="宋体" w:eastAsia="宋体"/>
                <w:szCs w:val="23"/>
              </w:rPr>
              <w:t>在进行投资决策时，投资者须依赖于自己对本基金合同条款的判断，包括与之相关的风险和收益。</w:t>
            </w:r>
          </w:p>
          <w:p w14:paraId="6F684796">
            <w:pPr>
              <w:adjustRightInd w:val="0"/>
              <w:snapToGrid w:val="0"/>
              <w:ind w:firstLine="420"/>
              <w:rPr>
                <w:rFonts w:ascii="宋体" w:hAnsi="宋体" w:eastAsia="宋体"/>
                <w:szCs w:val="23"/>
              </w:rPr>
            </w:pPr>
            <w:r>
              <w:rPr>
                <w:rFonts w:hint="eastAsia" w:ascii="宋体" w:hAnsi="宋体" w:eastAsia="宋体"/>
                <w:szCs w:val="23"/>
              </w:rPr>
              <w:t>投资者应当以其合法所有或有合法处分权的资金认购本基金，确保基金财产来源合法，不得损害国家、社会公共利益和他人合法权益。</w:t>
            </w:r>
          </w:p>
          <w:p w14:paraId="0E8F2FD2">
            <w:pPr>
              <w:adjustRightInd w:val="0"/>
              <w:snapToGrid w:val="0"/>
              <w:ind w:firstLine="420"/>
              <w:rPr>
                <w:rFonts w:ascii="宋体" w:hAnsi="宋体" w:eastAsia="宋体"/>
                <w:b/>
                <w:szCs w:val="23"/>
              </w:rPr>
            </w:pPr>
            <w:r>
              <w:rPr>
                <w:rFonts w:hint="eastAsia" w:ascii="宋体" w:hAnsi="宋体" w:eastAsia="宋体"/>
                <w:b/>
                <w:szCs w:val="23"/>
              </w:rPr>
              <w:t>基金管理人依照恪尽职守、诚实信用、谨慎勤勉的原则管理和运用基金财产，但不保证基金一定盈利，也不保证最低收益。投资人投资本基金存在投资风险。按照基金合同约定进行投资造成的损失，由投资人自行承担。</w:t>
            </w:r>
          </w:p>
        </w:tc>
      </w:tr>
      <w:tr w14:paraId="1226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01" w:type="dxa"/>
            <w:vMerge w:val="restart"/>
            <w:tcMar>
              <w:left w:w="28" w:type="dxa"/>
              <w:right w:w="28" w:type="dxa"/>
            </w:tcMar>
            <w:vAlign w:val="center"/>
          </w:tcPr>
          <w:p w14:paraId="3C46C76E">
            <w:pPr>
              <w:adjustRightInd w:val="0"/>
              <w:snapToGrid w:val="0"/>
              <w:spacing w:line="288" w:lineRule="auto"/>
              <w:ind w:firstLine="0"/>
              <w:jc w:val="center"/>
              <w:rPr>
                <w:rFonts w:ascii="宋体" w:hAnsi="宋体" w:eastAsia="宋体"/>
                <w:b/>
                <w:szCs w:val="21"/>
              </w:rPr>
            </w:pPr>
            <w:r>
              <w:rPr>
                <w:rFonts w:ascii="宋体" w:hAnsi="宋体" w:eastAsia="宋体"/>
                <w:b/>
                <w:szCs w:val="21"/>
              </w:rPr>
              <w:t>基金的基本信息</w:t>
            </w:r>
          </w:p>
        </w:tc>
        <w:tc>
          <w:tcPr>
            <w:tcW w:w="2013" w:type="dxa"/>
            <w:tcMar>
              <w:left w:w="28" w:type="dxa"/>
              <w:right w:w="28" w:type="dxa"/>
            </w:tcMar>
            <w:vAlign w:val="center"/>
          </w:tcPr>
          <w:p w14:paraId="025D96C3">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基金名称</w:t>
            </w:r>
          </w:p>
        </w:tc>
        <w:tc>
          <w:tcPr>
            <w:tcW w:w="7013" w:type="dxa"/>
            <w:tcMar>
              <w:left w:w="28" w:type="dxa"/>
              <w:right w:w="28" w:type="dxa"/>
            </w:tcMar>
            <w:vAlign w:val="center"/>
          </w:tcPr>
          <w:p w14:paraId="5B6D7B79">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泉智</w:t>
            </w:r>
            <w:r>
              <w:rPr>
                <w:rFonts w:hint="eastAsia" w:ascii="宋体" w:hAnsi="宋体" w:eastAsia="宋体"/>
                <w:szCs w:val="21"/>
                <w:lang w:eastAsia="zh-CN"/>
              </w:rPr>
              <w:t>精选多策略</w:t>
            </w:r>
            <w:r>
              <w:rPr>
                <w:rFonts w:hint="eastAsia" w:ascii="宋体" w:hAnsi="宋体" w:eastAsia="宋体"/>
                <w:szCs w:val="21"/>
                <w:lang w:val="en-US" w:eastAsia="zh-CN"/>
              </w:rPr>
              <w:t>2</w:t>
            </w:r>
            <w:r>
              <w:rPr>
                <w:rFonts w:hint="eastAsia" w:ascii="宋体" w:hAnsi="宋体" w:eastAsia="宋体"/>
                <w:szCs w:val="21"/>
              </w:rPr>
              <w:t>号私募证券投资基金</w:t>
            </w:r>
          </w:p>
        </w:tc>
      </w:tr>
      <w:tr w14:paraId="67C6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72A6A36F">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7DD8CDE9">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基金类型</w:t>
            </w:r>
          </w:p>
        </w:tc>
        <w:tc>
          <w:tcPr>
            <w:tcW w:w="7013" w:type="dxa"/>
            <w:tcMar>
              <w:left w:w="28" w:type="dxa"/>
              <w:right w:w="28" w:type="dxa"/>
            </w:tcMar>
            <w:vAlign w:val="center"/>
          </w:tcPr>
          <w:p w14:paraId="016055C4">
            <w:pPr>
              <w:adjustRightInd w:val="0"/>
              <w:snapToGrid w:val="0"/>
              <w:spacing w:line="288" w:lineRule="auto"/>
              <w:ind w:firstLine="2730" w:firstLineChars="1300"/>
              <w:rPr>
                <w:rFonts w:ascii="宋体" w:hAnsi="宋体" w:eastAsia="宋体"/>
                <w:szCs w:val="21"/>
              </w:rPr>
            </w:pPr>
            <w:r>
              <w:rPr>
                <w:rFonts w:hint="eastAsia" w:ascii="宋体" w:hAnsi="宋体" w:eastAsia="宋体"/>
                <w:szCs w:val="21"/>
              </w:rPr>
              <w:t>私募证券投资基金</w:t>
            </w:r>
          </w:p>
        </w:tc>
      </w:tr>
      <w:tr w14:paraId="2706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546E43AE">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25274613">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基金管理人</w:t>
            </w:r>
          </w:p>
        </w:tc>
        <w:tc>
          <w:tcPr>
            <w:tcW w:w="7013" w:type="dxa"/>
            <w:tcMar>
              <w:left w:w="28" w:type="dxa"/>
              <w:right w:w="28" w:type="dxa"/>
            </w:tcMar>
            <w:vAlign w:val="center"/>
          </w:tcPr>
          <w:p w14:paraId="6EB814E6">
            <w:pPr>
              <w:adjustRightInd w:val="0"/>
              <w:snapToGrid w:val="0"/>
              <w:spacing w:line="288" w:lineRule="auto"/>
              <w:ind w:firstLine="420"/>
              <w:jc w:val="center"/>
              <w:rPr>
                <w:rFonts w:ascii="宋体" w:hAnsi="宋体" w:eastAsia="宋体"/>
                <w:szCs w:val="21"/>
              </w:rPr>
            </w:pPr>
            <w:r>
              <w:rPr>
                <w:rFonts w:hint="eastAsia" w:ascii="宋体" w:hAnsi="宋体" w:eastAsia="宋体"/>
                <w:szCs w:val="21"/>
                <w:lang w:eastAsia="zh-CN"/>
              </w:rPr>
              <w:t>晋江泉智私募基金管理有限</w:t>
            </w:r>
            <w:r>
              <w:rPr>
                <w:rFonts w:hint="eastAsia" w:ascii="宋体" w:hAnsi="宋体" w:eastAsia="宋体"/>
                <w:szCs w:val="21"/>
              </w:rPr>
              <w:t>公司</w:t>
            </w:r>
          </w:p>
        </w:tc>
      </w:tr>
      <w:tr w14:paraId="65E4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48DF2D54">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34DACF46">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基金托管人</w:t>
            </w:r>
          </w:p>
        </w:tc>
        <w:tc>
          <w:tcPr>
            <w:tcW w:w="7013" w:type="dxa"/>
            <w:tcMar>
              <w:left w:w="28" w:type="dxa"/>
              <w:right w:w="28" w:type="dxa"/>
            </w:tcMar>
            <w:vAlign w:val="center"/>
          </w:tcPr>
          <w:p w14:paraId="494E8F83">
            <w:pPr>
              <w:adjustRightInd w:val="0"/>
              <w:snapToGrid w:val="0"/>
              <w:spacing w:line="288" w:lineRule="auto"/>
              <w:ind w:firstLine="420"/>
              <w:jc w:val="center"/>
              <w:rPr>
                <w:rFonts w:ascii="宋体" w:hAnsi="宋体" w:eastAsia="宋体"/>
                <w:szCs w:val="21"/>
              </w:rPr>
            </w:pPr>
            <w:r>
              <w:rPr>
                <w:rFonts w:hint="eastAsia" w:ascii="宋体" w:hAnsi="宋体" w:eastAsia="宋体"/>
                <w:szCs w:val="21"/>
                <w:lang w:eastAsia="zh-CN"/>
              </w:rPr>
              <w:t>华福</w:t>
            </w:r>
            <w:r>
              <w:rPr>
                <w:rFonts w:hint="eastAsia" w:ascii="宋体" w:hAnsi="宋体" w:eastAsia="宋体"/>
                <w:szCs w:val="21"/>
              </w:rPr>
              <w:t>证券有限</w:t>
            </w:r>
            <w:r>
              <w:rPr>
                <w:rFonts w:hint="eastAsia" w:ascii="宋体" w:hAnsi="宋体" w:eastAsia="宋体"/>
                <w:szCs w:val="21"/>
                <w:lang w:eastAsia="zh-CN"/>
              </w:rPr>
              <w:t>责任</w:t>
            </w:r>
            <w:r>
              <w:rPr>
                <w:rFonts w:hint="eastAsia" w:ascii="宋体" w:hAnsi="宋体" w:eastAsia="宋体"/>
                <w:szCs w:val="21"/>
              </w:rPr>
              <w:t>公司</w:t>
            </w:r>
          </w:p>
        </w:tc>
      </w:tr>
      <w:tr w14:paraId="3478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0A500266">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3A78C524">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基金外包服务机构</w:t>
            </w:r>
          </w:p>
        </w:tc>
        <w:tc>
          <w:tcPr>
            <w:tcW w:w="7013" w:type="dxa"/>
            <w:tcMar>
              <w:left w:w="28" w:type="dxa"/>
              <w:right w:w="28" w:type="dxa"/>
            </w:tcMar>
            <w:vAlign w:val="center"/>
          </w:tcPr>
          <w:p w14:paraId="462FD7DC">
            <w:pPr>
              <w:adjustRightInd w:val="0"/>
              <w:snapToGrid w:val="0"/>
              <w:spacing w:line="288" w:lineRule="auto"/>
              <w:ind w:firstLine="420"/>
              <w:jc w:val="center"/>
              <w:rPr>
                <w:rFonts w:ascii="宋体" w:hAnsi="宋体" w:eastAsia="宋体"/>
                <w:szCs w:val="21"/>
              </w:rPr>
            </w:pPr>
            <w:r>
              <w:rPr>
                <w:rFonts w:hint="eastAsia" w:ascii="宋体" w:hAnsi="宋体" w:eastAsia="宋体"/>
                <w:szCs w:val="21"/>
              </w:rPr>
              <w:t>兴业证券股份有限公司</w:t>
            </w:r>
          </w:p>
        </w:tc>
      </w:tr>
      <w:tr w14:paraId="6B61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1E5C23CC">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4FD618AF">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投资顾问（如有）</w:t>
            </w:r>
          </w:p>
        </w:tc>
        <w:tc>
          <w:tcPr>
            <w:tcW w:w="7013" w:type="dxa"/>
            <w:tcMar>
              <w:left w:w="28" w:type="dxa"/>
              <w:right w:w="28" w:type="dxa"/>
            </w:tcMar>
            <w:vAlign w:val="center"/>
          </w:tcPr>
          <w:p w14:paraId="637DC7AA">
            <w:pPr>
              <w:adjustRightInd w:val="0"/>
              <w:snapToGrid w:val="0"/>
              <w:spacing w:line="288" w:lineRule="auto"/>
              <w:ind w:firstLine="420"/>
              <w:jc w:val="center"/>
              <w:rPr>
                <w:rFonts w:hint="eastAsia" w:ascii="宋体" w:hAnsi="宋体" w:eastAsia="宋体"/>
                <w:szCs w:val="21"/>
                <w:lang w:eastAsia="zh-CN"/>
              </w:rPr>
            </w:pPr>
            <w:r>
              <w:rPr>
                <w:rFonts w:hint="eastAsia" w:ascii="宋体" w:hAnsi="宋体" w:eastAsia="宋体"/>
                <w:szCs w:val="21"/>
                <w:lang w:eastAsia="zh-CN"/>
              </w:rPr>
              <w:t>无</w:t>
            </w:r>
          </w:p>
        </w:tc>
      </w:tr>
      <w:tr w14:paraId="508C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1F1BD692">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0A035A9C">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募集规模</w:t>
            </w:r>
          </w:p>
        </w:tc>
        <w:tc>
          <w:tcPr>
            <w:tcW w:w="7013" w:type="dxa"/>
            <w:tcMar>
              <w:left w:w="28" w:type="dxa"/>
              <w:right w:w="28" w:type="dxa"/>
            </w:tcMar>
            <w:vAlign w:val="center"/>
          </w:tcPr>
          <w:p w14:paraId="3DB7D5A9">
            <w:pPr>
              <w:adjustRightInd w:val="0"/>
              <w:snapToGrid w:val="0"/>
              <w:spacing w:line="288" w:lineRule="auto"/>
              <w:ind w:firstLine="420"/>
              <w:jc w:val="center"/>
              <w:rPr>
                <w:rFonts w:ascii="宋体" w:hAnsi="宋体" w:eastAsia="宋体"/>
                <w:szCs w:val="21"/>
              </w:rPr>
            </w:pPr>
            <w:r>
              <w:rPr>
                <w:rFonts w:hint="eastAsia" w:ascii="宋体" w:hAnsi="宋体" w:eastAsia="宋体"/>
                <w:szCs w:val="21"/>
              </w:rPr>
              <w:t>不低于10</w:t>
            </w:r>
            <w:r>
              <w:rPr>
                <w:rFonts w:hint="eastAsia" w:ascii="宋体" w:hAnsi="宋体" w:eastAsia="宋体"/>
                <w:szCs w:val="21"/>
                <w:lang w:val="en-US" w:eastAsia="zh-CN"/>
              </w:rPr>
              <w:t>10</w:t>
            </w:r>
            <w:r>
              <w:rPr>
                <w:rFonts w:hint="eastAsia" w:ascii="宋体" w:hAnsi="宋体" w:eastAsia="宋体"/>
                <w:szCs w:val="21"/>
              </w:rPr>
              <w:t>万人民币</w:t>
            </w:r>
          </w:p>
        </w:tc>
      </w:tr>
      <w:tr w14:paraId="47F9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0F4B2E01">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5230A006">
            <w:pPr>
              <w:adjustRightInd w:val="0"/>
              <w:snapToGrid w:val="0"/>
              <w:spacing w:line="288" w:lineRule="auto"/>
              <w:ind w:firstLine="630" w:firstLineChars="300"/>
              <w:rPr>
                <w:rFonts w:ascii="宋体" w:hAnsi="宋体" w:eastAsia="宋体"/>
                <w:szCs w:val="21"/>
              </w:rPr>
            </w:pPr>
            <w:r>
              <w:rPr>
                <w:rFonts w:ascii="宋体" w:hAnsi="宋体" w:eastAsia="宋体"/>
                <w:szCs w:val="21"/>
              </w:rPr>
              <w:t>募集期限</w:t>
            </w:r>
          </w:p>
        </w:tc>
        <w:tc>
          <w:tcPr>
            <w:tcW w:w="7013" w:type="dxa"/>
            <w:tcMar>
              <w:left w:w="28" w:type="dxa"/>
              <w:right w:w="28" w:type="dxa"/>
            </w:tcMar>
          </w:tcPr>
          <w:p w14:paraId="2E77E0D8">
            <w:pPr>
              <w:adjustRightInd w:val="0"/>
              <w:snapToGrid w:val="0"/>
              <w:spacing w:line="288" w:lineRule="auto"/>
              <w:ind w:firstLine="420"/>
              <w:jc w:val="center"/>
              <w:rPr>
                <w:rFonts w:ascii="宋体" w:hAnsi="宋体" w:eastAsia="宋体"/>
                <w:szCs w:val="21"/>
              </w:rPr>
            </w:pPr>
            <w:r>
              <w:rPr>
                <w:rFonts w:hint="eastAsia" w:ascii="宋体" w:hAnsi="宋体" w:eastAsia="宋体"/>
                <w:szCs w:val="21"/>
                <w:lang w:val="en-US" w:eastAsia="zh-CN"/>
              </w:rPr>
              <w:t>2024</w:t>
            </w:r>
            <w:r>
              <w:rPr>
                <w:rFonts w:ascii="宋体" w:hAnsi="宋体" w:eastAsia="宋体"/>
                <w:szCs w:val="21"/>
              </w:rPr>
              <w:t>年</w:t>
            </w:r>
            <w:r>
              <w:rPr>
                <w:rFonts w:hint="eastAsia" w:ascii="宋体" w:hAnsi="宋体" w:eastAsia="宋体"/>
                <w:szCs w:val="21"/>
                <w:lang w:val="en-US" w:eastAsia="zh-CN"/>
              </w:rPr>
              <w:t>12</w:t>
            </w:r>
            <w:r>
              <w:rPr>
                <w:rFonts w:ascii="宋体" w:hAnsi="宋体" w:eastAsia="宋体"/>
                <w:szCs w:val="21"/>
              </w:rPr>
              <w:t>月</w:t>
            </w:r>
            <w:r>
              <w:rPr>
                <w:rFonts w:hint="eastAsia" w:ascii="宋体" w:hAnsi="宋体" w:eastAsia="宋体"/>
                <w:szCs w:val="21"/>
                <w:lang w:val="en-US" w:eastAsia="zh-CN"/>
              </w:rPr>
              <w:t>18</w:t>
            </w:r>
            <w:r>
              <w:rPr>
                <w:rFonts w:ascii="宋体" w:hAnsi="宋体" w:eastAsia="宋体"/>
                <w:szCs w:val="21"/>
              </w:rPr>
              <w:t>日-</w:t>
            </w:r>
            <w:r>
              <w:rPr>
                <w:rFonts w:hint="eastAsia" w:ascii="宋体" w:hAnsi="宋体" w:eastAsia="宋体"/>
                <w:szCs w:val="21"/>
                <w:lang w:val="en-US" w:eastAsia="zh-CN"/>
              </w:rPr>
              <w:t>2024</w:t>
            </w:r>
            <w:r>
              <w:rPr>
                <w:rFonts w:ascii="宋体" w:hAnsi="宋体" w:eastAsia="宋体"/>
                <w:szCs w:val="21"/>
              </w:rPr>
              <w:t>年</w:t>
            </w:r>
            <w:r>
              <w:rPr>
                <w:rFonts w:hint="eastAsia" w:ascii="宋体" w:hAnsi="宋体" w:eastAsia="宋体"/>
                <w:szCs w:val="21"/>
                <w:lang w:val="en-US" w:eastAsia="zh-CN"/>
              </w:rPr>
              <w:t>12</w:t>
            </w:r>
            <w:r>
              <w:rPr>
                <w:rFonts w:ascii="宋体" w:hAnsi="宋体" w:eastAsia="宋体"/>
                <w:szCs w:val="21"/>
              </w:rPr>
              <w:t>月</w:t>
            </w:r>
            <w:r>
              <w:rPr>
                <w:rFonts w:hint="eastAsia" w:ascii="宋体" w:hAnsi="宋体" w:eastAsia="宋体"/>
                <w:szCs w:val="21"/>
                <w:lang w:val="en-US" w:eastAsia="zh-CN"/>
              </w:rPr>
              <w:t>24</w:t>
            </w:r>
            <w:r>
              <w:rPr>
                <w:rFonts w:ascii="宋体" w:hAnsi="宋体" w:eastAsia="宋体"/>
                <w:szCs w:val="21"/>
              </w:rPr>
              <w:t>日</w:t>
            </w:r>
          </w:p>
        </w:tc>
      </w:tr>
      <w:tr w14:paraId="5486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37B2CE14">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6198A450">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最低认缴出资额</w:t>
            </w:r>
          </w:p>
        </w:tc>
        <w:tc>
          <w:tcPr>
            <w:tcW w:w="7013" w:type="dxa"/>
            <w:tcMar>
              <w:left w:w="28" w:type="dxa"/>
              <w:right w:w="28" w:type="dxa"/>
            </w:tcMar>
            <w:vAlign w:val="center"/>
          </w:tcPr>
          <w:p w14:paraId="37E4831B">
            <w:pPr>
              <w:adjustRightInd w:val="0"/>
              <w:snapToGrid w:val="0"/>
              <w:spacing w:line="288" w:lineRule="auto"/>
              <w:ind w:firstLine="420"/>
              <w:jc w:val="center"/>
              <w:rPr>
                <w:rFonts w:ascii="宋体" w:hAnsi="宋体" w:eastAsia="宋体"/>
                <w:szCs w:val="21"/>
              </w:rPr>
            </w:pPr>
            <w:r>
              <w:rPr>
                <w:rFonts w:hint="eastAsia" w:ascii="宋体" w:hAnsi="宋体" w:eastAsia="宋体"/>
                <w:szCs w:val="21"/>
              </w:rPr>
              <w:t>100万元，或监管认可的其他投资者可低于此金额</w:t>
            </w:r>
          </w:p>
        </w:tc>
      </w:tr>
      <w:tr w14:paraId="1B2D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21345A83">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70811D2B">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分级安排（如有）</w:t>
            </w:r>
          </w:p>
        </w:tc>
        <w:tc>
          <w:tcPr>
            <w:tcW w:w="7013" w:type="dxa"/>
            <w:tcMar>
              <w:left w:w="28" w:type="dxa"/>
              <w:right w:w="28" w:type="dxa"/>
            </w:tcMar>
            <w:vAlign w:val="center"/>
          </w:tcPr>
          <w:p w14:paraId="2448E2B3">
            <w:pPr>
              <w:adjustRightInd w:val="0"/>
              <w:snapToGrid w:val="0"/>
              <w:spacing w:line="288" w:lineRule="auto"/>
              <w:ind w:firstLine="420"/>
              <w:rPr>
                <w:rFonts w:hint="default" w:ascii="宋体" w:hAnsi="宋体" w:eastAsia="宋体"/>
                <w:szCs w:val="21"/>
                <w:lang w:val="en-US" w:eastAsia="zh-CN"/>
              </w:rPr>
            </w:pPr>
            <w:r>
              <w:rPr>
                <w:rFonts w:hint="eastAsia" w:ascii="宋体" w:hAnsi="宋体" w:eastAsia="宋体"/>
                <w:szCs w:val="21"/>
                <w:lang w:val="en-US" w:eastAsia="zh-CN"/>
              </w:rPr>
              <w:t xml:space="preserve">                             无</w:t>
            </w:r>
          </w:p>
        </w:tc>
      </w:tr>
      <w:tr w14:paraId="1189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422DF29E">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77C18251">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基金运作方式</w:t>
            </w:r>
          </w:p>
        </w:tc>
        <w:tc>
          <w:tcPr>
            <w:tcW w:w="7013" w:type="dxa"/>
            <w:tcMar>
              <w:left w:w="28" w:type="dxa"/>
              <w:right w:w="28" w:type="dxa"/>
            </w:tcMar>
            <w:vAlign w:val="center"/>
          </w:tcPr>
          <w:p w14:paraId="55B16558">
            <w:pPr>
              <w:adjustRightInd w:val="0"/>
              <w:snapToGrid w:val="0"/>
              <w:spacing w:line="288" w:lineRule="auto"/>
              <w:ind w:firstLine="2940" w:firstLineChars="1400"/>
              <w:rPr>
                <w:rFonts w:ascii="宋体" w:hAnsi="宋体" w:eastAsia="宋体"/>
                <w:szCs w:val="21"/>
              </w:rPr>
            </w:pPr>
            <w:r>
              <w:rPr>
                <w:rFonts w:hint="eastAsia" w:ascii="宋体" w:hAnsi="宋体" w:eastAsia="宋体"/>
                <w:szCs w:val="21"/>
              </w:rPr>
              <w:t>开放式运作</w:t>
            </w:r>
          </w:p>
        </w:tc>
      </w:tr>
      <w:tr w14:paraId="2629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6EB047C3">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7BBDF068">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存续期限</w:t>
            </w:r>
          </w:p>
        </w:tc>
        <w:tc>
          <w:tcPr>
            <w:tcW w:w="7013" w:type="dxa"/>
            <w:tcMar>
              <w:left w:w="28" w:type="dxa"/>
              <w:right w:w="28" w:type="dxa"/>
            </w:tcMar>
            <w:vAlign w:val="center"/>
          </w:tcPr>
          <w:p w14:paraId="40BCCDA0">
            <w:pPr>
              <w:adjustRightInd w:val="0"/>
              <w:snapToGrid w:val="0"/>
              <w:spacing w:line="288" w:lineRule="auto"/>
              <w:ind w:firstLine="420"/>
              <w:jc w:val="center"/>
              <w:rPr>
                <w:rFonts w:ascii="宋体" w:hAnsi="宋体" w:eastAsia="宋体"/>
                <w:szCs w:val="21"/>
              </w:rPr>
            </w:pPr>
            <w:r>
              <w:rPr>
                <w:rFonts w:hint="eastAsia" w:ascii="宋体" w:hAnsi="宋体" w:eastAsia="宋体"/>
                <w:szCs w:val="21"/>
                <w:lang w:val="en-US" w:eastAsia="zh-CN"/>
              </w:rPr>
              <w:t>10</w:t>
            </w:r>
            <w:r>
              <w:rPr>
                <w:rFonts w:ascii="宋体" w:hAnsi="宋体" w:eastAsia="宋体"/>
                <w:szCs w:val="21"/>
              </w:rPr>
              <w:t>年</w:t>
            </w:r>
          </w:p>
        </w:tc>
      </w:tr>
      <w:tr w14:paraId="5FE9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1B4C1C74">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51EC5818">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募集结算资金专用账户及其监督机构信息</w:t>
            </w:r>
          </w:p>
        </w:tc>
        <w:tc>
          <w:tcPr>
            <w:tcW w:w="7013" w:type="dxa"/>
            <w:tcMar>
              <w:left w:w="28" w:type="dxa"/>
              <w:right w:w="28" w:type="dxa"/>
            </w:tcMar>
            <w:vAlign w:val="center"/>
          </w:tcPr>
          <w:p w14:paraId="72FC7545">
            <w:pPr>
              <w:adjustRightInd w:val="0"/>
              <w:snapToGrid w:val="0"/>
              <w:spacing w:line="288" w:lineRule="auto"/>
              <w:ind w:firstLine="0"/>
              <w:rPr>
                <w:rFonts w:ascii="宋体" w:hAnsi="宋体" w:eastAsia="宋体"/>
                <w:szCs w:val="21"/>
              </w:rPr>
            </w:pPr>
            <w:r>
              <w:rPr>
                <w:rFonts w:hint="eastAsia" w:ascii="宋体" w:hAnsi="宋体" w:eastAsia="宋体"/>
                <w:szCs w:val="21"/>
              </w:rPr>
              <w:t>募集账户名称：兴业证券股份有限公司基金运营外包募集专户</w:t>
            </w:r>
          </w:p>
          <w:p w14:paraId="0C8FA309">
            <w:pPr>
              <w:adjustRightInd w:val="0"/>
              <w:snapToGrid w:val="0"/>
              <w:spacing w:before="93" w:beforeLines="30" w:after="93" w:afterLines="30" w:line="360" w:lineRule="auto"/>
              <w:rPr>
                <w:rFonts w:hint="eastAsia" w:ascii="宋体" w:hAnsi="宋体" w:eastAsia="宋体"/>
                <w:szCs w:val="21"/>
              </w:rPr>
            </w:pPr>
            <w:r>
              <w:rPr>
                <w:rFonts w:hint="eastAsia" w:ascii="宋体" w:hAnsi="宋体" w:eastAsia="宋体"/>
                <w:szCs w:val="21"/>
              </w:rPr>
              <w:t>募集账户账号：31006613701880027236200878</w:t>
            </w:r>
          </w:p>
          <w:p w14:paraId="7FD261DF">
            <w:pPr>
              <w:adjustRightInd w:val="0"/>
              <w:snapToGrid w:val="0"/>
              <w:spacing w:line="288" w:lineRule="auto"/>
              <w:ind w:firstLine="0"/>
              <w:rPr>
                <w:rFonts w:hint="eastAsia" w:ascii="宋体" w:hAnsi="宋体" w:eastAsia="宋体"/>
                <w:szCs w:val="21"/>
              </w:rPr>
            </w:pPr>
            <w:r>
              <w:rPr>
                <w:rFonts w:hint="eastAsia" w:ascii="宋体" w:hAnsi="宋体" w:eastAsia="宋体"/>
                <w:szCs w:val="21"/>
              </w:rPr>
              <w:t>募集账户开户银行名称：交通银行上海自贸试验区分行</w:t>
            </w:r>
          </w:p>
          <w:p w14:paraId="27DBB543">
            <w:pPr>
              <w:adjustRightInd w:val="0"/>
              <w:snapToGrid w:val="0"/>
              <w:spacing w:line="288" w:lineRule="auto"/>
              <w:ind w:firstLine="0"/>
              <w:rPr>
                <w:rFonts w:ascii="宋体" w:hAnsi="宋体" w:eastAsia="宋体"/>
                <w:szCs w:val="21"/>
              </w:rPr>
            </w:pPr>
            <w:r>
              <w:rPr>
                <w:rFonts w:hint="eastAsia" w:ascii="宋体" w:hAnsi="宋体" w:eastAsia="宋体"/>
                <w:szCs w:val="21"/>
              </w:rPr>
              <w:t>大额支付号</w:t>
            </w:r>
            <w:r>
              <w:rPr>
                <w:rFonts w:ascii="宋体" w:hAnsi="宋体" w:eastAsia="宋体"/>
                <w:szCs w:val="21"/>
              </w:rPr>
              <w:t>:</w:t>
            </w:r>
            <w:r>
              <w:rPr>
                <w:rFonts w:hint="eastAsia" w:ascii="宋体" w:hAnsi="宋体" w:eastAsia="宋体"/>
                <w:szCs w:val="21"/>
              </w:rPr>
              <w:t>301290050973</w:t>
            </w:r>
          </w:p>
          <w:p w14:paraId="32C58E1A">
            <w:pPr>
              <w:adjustRightInd w:val="0"/>
              <w:snapToGrid w:val="0"/>
              <w:spacing w:line="288" w:lineRule="auto"/>
              <w:ind w:firstLine="0"/>
              <w:rPr>
                <w:rFonts w:ascii="宋体" w:hAnsi="宋体" w:eastAsia="宋体"/>
                <w:szCs w:val="21"/>
              </w:rPr>
            </w:pPr>
            <w:r>
              <w:rPr>
                <w:rFonts w:ascii="宋体" w:hAnsi="宋体" w:eastAsia="宋体"/>
                <w:szCs w:val="21"/>
              </w:rPr>
              <w:t>监督机构</w:t>
            </w:r>
            <w:r>
              <w:rPr>
                <w:rFonts w:hint="eastAsia" w:ascii="宋体" w:hAnsi="宋体" w:eastAsia="宋体"/>
                <w:szCs w:val="21"/>
              </w:rPr>
              <w:t>：兴业证券股份有限公司</w:t>
            </w:r>
          </w:p>
        </w:tc>
      </w:tr>
      <w:tr w14:paraId="5BDF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1490CDAB">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122EE70D">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联系人和联系信息</w:t>
            </w:r>
          </w:p>
        </w:tc>
        <w:tc>
          <w:tcPr>
            <w:tcW w:w="7013" w:type="dxa"/>
            <w:tcMar>
              <w:left w:w="28" w:type="dxa"/>
              <w:right w:w="28" w:type="dxa"/>
            </w:tcMar>
            <w:vAlign w:val="center"/>
          </w:tcPr>
          <w:p w14:paraId="2C628D9A">
            <w:pPr>
              <w:adjustRightInd w:val="0"/>
              <w:snapToGrid w:val="0"/>
              <w:spacing w:line="288" w:lineRule="auto"/>
              <w:ind w:firstLine="420"/>
              <w:jc w:val="center"/>
              <w:rPr>
                <w:rFonts w:hint="default" w:ascii="宋体" w:hAnsi="宋体" w:eastAsia="宋体"/>
                <w:szCs w:val="21"/>
                <w:lang w:val="en-US" w:eastAsia="zh-CN"/>
              </w:rPr>
            </w:pPr>
            <w:r>
              <w:rPr>
                <w:rFonts w:hint="eastAsia" w:ascii="宋体" w:hAnsi="宋体" w:eastAsia="宋体"/>
                <w:szCs w:val="21"/>
                <w:lang w:eastAsia="zh-CN"/>
              </w:rPr>
              <w:t>陈生宝</w:t>
            </w:r>
            <w:r>
              <w:rPr>
                <w:rFonts w:hint="eastAsia" w:ascii="宋体" w:hAnsi="宋体" w:eastAsia="宋体"/>
                <w:szCs w:val="21"/>
                <w:lang w:val="en-US" w:eastAsia="zh-CN"/>
              </w:rPr>
              <w:t xml:space="preserve">  13655039266</w:t>
            </w:r>
          </w:p>
        </w:tc>
      </w:tr>
      <w:tr w14:paraId="67BB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1B445A2B">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2843DFDD">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收益与风险匹配情况</w:t>
            </w:r>
          </w:p>
        </w:tc>
        <w:tc>
          <w:tcPr>
            <w:tcW w:w="7013" w:type="dxa"/>
            <w:tcMar>
              <w:left w:w="28" w:type="dxa"/>
              <w:right w:w="28" w:type="dxa"/>
            </w:tcMar>
            <w:vAlign w:val="center"/>
          </w:tcPr>
          <w:p w14:paraId="2E0BAB56">
            <w:pPr>
              <w:adjustRightInd w:val="0"/>
              <w:snapToGrid w:val="0"/>
              <w:spacing w:line="288" w:lineRule="auto"/>
              <w:ind w:firstLine="0"/>
              <w:rPr>
                <w:rFonts w:hint="eastAsia" w:ascii="宋体" w:hAnsi="宋体" w:eastAsia="宋体"/>
                <w:szCs w:val="21"/>
              </w:rPr>
            </w:pPr>
            <w:r>
              <w:rPr>
                <w:rFonts w:hint="eastAsia" w:ascii="宋体" w:hAnsi="宋体" w:eastAsia="宋体"/>
                <w:szCs w:val="21"/>
              </w:rPr>
              <w:t>本基金属于R4级投资品种，适合风险识别、评估、承受能力[C4及以上]的普通投资者及专业投资者。</w:t>
            </w:r>
          </w:p>
          <w:p w14:paraId="6CAFC5AA">
            <w:pPr>
              <w:adjustRightInd w:val="0"/>
              <w:snapToGrid w:val="0"/>
              <w:spacing w:line="288" w:lineRule="auto"/>
              <w:ind w:firstLine="420"/>
              <w:jc w:val="center"/>
              <w:rPr>
                <w:rFonts w:ascii="宋体" w:hAnsi="宋体" w:eastAsia="宋体"/>
                <w:szCs w:val="21"/>
              </w:rPr>
            </w:pPr>
          </w:p>
        </w:tc>
      </w:tr>
      <w:tr w14:paraId="243C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17079ED1">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1A646748">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投资者承担的主要费用及费率</w:t>
            </w:r>
          </w:p>
        </w:tc>
        <w:tc>
          <w:tcPr>
            <w:tcW w:w="7013" w:type="dxa"/>
            <w:tcMar>
              <w:left w:w="28" w:type="dxa"/>
              <w:right w:w="28" w:type="dxa"/>
            </w:tcMar>
            <w:vAlign w:val="center"/>
          </w:tcPr>
          <w:p w14:paraId="18DB0735">
            <w:pPr>
              <w:adjustRightInd w:val="0"/>
              <w:snapToGrid w:val="0"/>
              <w:spacing w:line="288" w:lineRule="auto"/>
              <w:ind w:firstLine="420"/>
              <w:jc w:val="both"/>
              <w:rPr>
                <w:rFonts w:hint="default" w:ascii="宋体" w:hAnsi="宋体" w:eastAsia="宋体"/>
                <w:szCs w:val="21"/>
                <w:lang w:val="en-US" w:eastAsia="zh-CN"/>
              </w:rPr>
            </w:pPr>
            <w:r>
              <w:rPr>
                <w:rFonts w:hint="eastAsia" w:ascii="宋体" w:hAnsi="宋体" w:eastAsia="宋体"/>
                <w:szCs w:val="21"/>
              </w:rPr>
              <w:t>认购费：</w:t>
            </w:r>
            <w:r>
              <w:rPr>
                <w:rFonts w:ascii="宋体" w:hAnsi="宋体" w:eastAsia="宋体"/>
                <w:szCs w:val="21"/>
              </w:rPr>
              <w:t xml:space="preserve"> </w:t>
            </w:r>
            <w:r>
              <w:rPr>
                <w:rFonts w:hint="eastAsia" w:ascii="宋体" w:hAnsi="宋体" w:eastAsia="宋体"/>
                <w:szCs w:val="21"/>
                <w:lang w:val="en-US" w:eastAsia="zh-CN"/>
              </w:rPr>
              <w:t>0%</w:t>
            </w:r>
          </w:p>
          <w:p w14:paraId="25B02BC3">
            <w:pPr>
              <w:adjustRightInd w:val="0"/>
              <w:snapToGrid w:val="0"/>
              <w:spacing w:line="288" w:lineRule="auto"/>
              <w:ind w:firstLine="420"/>
              <w:jc w:val="both"/>
              <w:rPr>
                <w:rFonts w:hint="default" w:ascii="宋体" w:hAnsi="宋体" w:eastAsia="宋体"/>
                <w:szCs w:val="21"/>
                <w:lang w:val="en-US" w:eastAsia="zh-CN"/>
              </w:rPr>
            </w:pPr>
            <w:r>
              <w:rPr>
                <w:rFonts w:hint="eastAsia" w:ascii="宋体" w:hAnsi="宋体" w:eastAsia="宋体"/>
                <w:szCs w:val="21"/>
              </w:rPr>
              <w:t>申购费：</w:t>
            </w:r>
            <w:r>
              <w:rPr>
                <w:rFonts w:hint="eastAsia" w:ascii="宋体" w:hAnsi="宋体" w:eastAsia="宋体"/>
                <w:szCs w:val="21"/>
                <w:lang w:val="en-US" w:eastAsia="zh-CN"/>
              </w:rPr>
              <w:t xml:space="preserve"> 0%</w:t>
            </w:r>
          </w:p>
          <w:p w14:paraId="32F4E326">
            <w:pPr>
              <w:adjustRightInd w:val="0"/>
              <w:snapToGrid w:val="0"/>
              <w:spacing w:before="93" w:beforeLines="30" w:after="93" w:afterLines="30" w:line="360" w:lineRule="auto"/>
              <w:ind w:firstLine="420" w:firstLineChars="200"/>
              <w:rPr>
                <w:rFonts w:ascii="宋体" w:hAnsi="宋体" w:eastAsia="宋体"/>
                <w:szCs w:val="21"/>
              </w:rPr>
            </w:pPr>
            <w:r>
              <w:rPr>
                <w:rFonts w:hint="eastAsia" w:ascii="宋体" w:hAnsi="宋体" w:eastAsia="宋体"/>
                <w:szCs w:val="21"/>
              </w:rPr>
              <w:t xml:space="preserve">赎回费： </w:t>
            </w:r>
            <w:r>
              <w:rPr>
                <w:rFonts w:hint="eastAsia" w:ascii="宋体" w:hAnsi="宋体" w:eastAsia="宋体"/>
                <w:szCs w:val="21"/>
                <w:lang w:val="en-US" w:eastAsia="zh-CN"/>
              </w:rPr>
              <w:t>0%</w:t>
            </w:r>
          </w:p>
          <w:p w14:paraId="6F58297E">
            <w:pPr>
              <w:adjustRightInd w:val="0"/>
              <w:snapToGrid w:val="0"/>
              <w:spacing w:line="288" w:lineRule="auto"/>
              <w:ind w:firstLine="420"/>
              <w:jc w:val="center"/>
              <w:rPr>
                <w:rFonts w:ascii="宋体" w:hAnsi="宋体" w:eastAsia="宋体"/>
                <w:szCs w:val="21"/>
              </w:rPr>
            </w:pPr>
          </w:p>
        </w:tc>
      </w:tr>
      <w:tr w14:paraId="19AC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restart"/>
            <w:tcMar>
              <w:left w:w="28" w:type="dxa"/>
              <w:right w:w="28" w:type="dxa"/>
            </w:tcMar>
            <w:vAlign w:val="center"/>
          </w:tcPr>
          <w:p w14:paraId="45F2ECE2">
            <w:pPr>
              <w:adjustRightInd w:val="0"/>
              <w:snapToGrid w:val="0"/>
              <w:spacing w:line="288" w:lineRule="auto"/>
              <w:ind w:firstLine="0"/>
              <w:jc w:val="center"/>
              <w:rPr>
                <w:rFonts w:ascii="宋体" w:hAnsi="宋体" w:eastAsia="宋体"/>
                <w:b/>
                <w:szCs w:val="21"/>
              </w:rPr>
            </w:pPr>
            <w:r>
              <w:rPr>
                <w:rFonts w:hint="eastAsia" w:ascii="宋体" w:hAnsi="宋体" w:eastAsia="宋体"/>
                <w:b/>
                <w:szCs w:val="21"/>
              </w:rPr>
              <w:t>基金管理人基本信息</w:t>
            </w:r>
          </w:p>
        </w:tc>
        <w:tc>
          <w:tcPr>
            <w:tcW w:w="2013" w:type="dxa"/>
            <w:tcMar>
              <w:left w:w="28" w:type="dxa"/>
              <w:right w:w="28" w:type="dxa"/>
            </w:tcMar>
            <w:vAlign w:val="center"/>
          </w:tcPr>
          <w:p w14:paraId="13767EF5">
            <w:pPr>
              <w:adjustRightInd w:val="0"/>
              <w:snapToGrid w:val="0"/>
              <w:spacing w:line="288" w:lineRule="auto"/>
              <w:ind w:firstLine="0"/>
              <w:jc w:val="center"/>
              <w:rPr>
                <w:rFonts w:ascii="宋体" w:hAnsi="宋体" w:eastAsia="宋体"/>
                <w:szCs w:val="21"/>
              </w:rPr>
            </w:pPr>
            <w:r>
              <w:rPr>
                <w:rFonts w:ascii="宋体" w:hAnsi="宋体" w:eastAsia="宋体"/>
                <w:szCs w:val="21"/>
              </w:rPr>
              <w:t>管理人名称</w:t>
            </w:r>
          </w:p>
        </w:tc>
        <w:tc>
          <w:tcPr>
            <w:tcW w:w="7013" w:type="dxa"/>
            <w:tcMar>
              <w:left w:w="28" w:type="dxa"/>
              <w:right w:w="28" w:type="dxa"/>
            </w:tcMar>
          </w:tcPr>
          <w:p w14:paraId="43F14336">
            <w:pPr>
              <w:adjustRightInd w:val="0"/>
              <w:snapToGrid w:val="0"/>
              <w:spacing w:line="288" w:lineRule="auto"/>
              <w:ind w:firstLine="0"/>
              <w:jc w:val="center"/>
              <w:rPr>
                <w:rFonts w:ascii="宋体" w:hAnsi="宋体" w:eastAsia="宋体"/>
                <w:szCs w:val="21"/>
              </w:rPr>
            </w:pPr>
            <w:r>
              <w:rPr>
                <w:rFonts w:hint="eastAsia" w:ascii="宋体" w:hAnsi="宋体" w:eastAsia="宋体"/>
                <w:szCs w:val="21"/>
                <w:lang w:eastAsia="zh-CN"/>
              </w:rPr>
              <w:t>晋江泉智私募基金管理有限</w:t>
            </w:r>
            <w:r>
              <w:rPr>
                <w:rFonts w:ascii="宋体" w:hAnsi="宋体" w:eastAsia="宋体"/>
                <w:szCs w:val="21"/>
              </w:rPr>
              <w:t>公司</w:t>
            </w:r>
          </w:p>
        </w:tc>
      </w:tr>
      <w:tr w14:paraId="0CF8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2F61773C">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4927F663">
            <w:pPr>
              <w:adjustRightInd w:val="0"/>
              <w:snapToGrid w:val="0"/>
              <w:spacing w:line="288" w:lineRule="auto"/>
              <w:ind w:firstLine="0"/>
              <w:jc w:val="center"/>
              <w:rPr>
                <w:rFonts w:ascii="宋体" w:hAnsi="宋体" w:eastAsia="宋体"/>
                <w:szCs w:val="21"/>
              </w:rPr>
            </w:pPr>
            <w:r>
              <w:rPr>
                <w:rFonts w:ascii="宋体" w:hAnsi="宋体" w:eastAsia="宋体"/>
                <w:szCs w:val="21"/>
              </w:rPr>
              <w:t>主要经营地址</w:t>
            </w:r>
          </w:p>
        </w:tc>
        <w:tc>
          <w:tcPr>
            <w:tcW w:w="7013" w:type="dxa"/>
            <w:tcMar>
              <w:left w:w="28" w:type="dxa"/>
              <w:right w:w="28" w:type="dxa"/>
            </w:tcMar>
          </w:tcPr>
          <w:p w14:paraId="1D2419A5">
            <w:pPr>
              <w:adjustRightInd w:val="0"/>
              <w:snapToGrid w:val="0"/>
              <w:spacing w:line="288" w:lineRule="auto"/>
              <w:ind w:firstLine="0"/>
              <w:jc w:val="center"/>
              <w:rPr>
                <w:rFonts w:hint="eastAsia" w:ascii="宋体" w:hAnsi="宋体" w:eastAsia="宋体"/>
                <w:szCs w:val="21"/>
                <w:lang w:eastAsia="zh-CN"/>
              </w:rPr>
            </w:pPr>
            <w:r>
              <w:rPr>
                <w:rFonts w:hint="eastAsia" w:ascii="宋体" w:hAnsi="宋体" w:eastAsia="宋体"/>
                <w:szCs w:val="21"/>
                <w:lang w:eastAsia="zh-CN"/>
              </w:rPr>
              <w:t>福建省泉州市晋江市世纪大道</w:t>
            </w:r>
            <w:r>
              <w:rPr>
                <w:rFonts w:hint="eastAsia" w:ascii="宋体" w:hAnsi="宋体" w:eastAsia="宋体"/>
                <w:szCs w:val="21"/>
                <w:lang w:val="en-US" w:eastAsia="zh-CN"/>
              </w:rPr>
              <w:t>888号万达广场写字楼B座1805</w:t>
            </w:r>
          </w:p>
        </w:tc>
      </w:tr>
      <w:tr w14:paraId="3101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377BD457">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248DF0AA">
            <w:pPr>
              <w:adjustRightInd w:val="0"/>
              <w:snapToGrid w:val="0"/>
              <w:spacing w:line="288" w:lineRule="auto"/>
              <w:ind w:firstLine="0"/>
              <w:jc w:val="center"/>
              <w:rPr>
                <w:rFonts w:ascii="宋体" w:hAnsi="宋体" w:eastAsia="宋体"/>
                <w:szCs w:val="21"/>
              </w:rPr>
            </w:pPr>
            <w:r>
              <w:rPr>
                <w:rFonts w:ascii="宋体" w:hAnsi="宋体" w:eastAsia="宋体"/>
                <w:szCs w:val="21"/>
              </w:rPr>
              <w:t>成立时间</w:t>
            </w:r>
          </w:p>
        </w:tc>
        <w:tc>
          <w:tcPr>
            <w:tcW w:w="7013" w:type="dxa"/>
            <w:tcMar>
              <w:left w:w="28" w:type="dxa"/>
              <w:right w:w="28" w:type="dxa"/>
            </w:tcMar>
          </w:tcPr>
          <w:p w14:paraId="7456622D">
            <w:pPr>
              <w:adjustRightInd w:val="0"/>
              <w:snapToGrid w:val="0"/>
              <w:spacing w:line="288" w:lineRule="auto"/>
              <w:ind w:firstLine="0"/>
              <w:jc w:val="center"/>
              <w:rPr>
                <w:rFonts w:hint="eastAsia" w:ascii="宋体" w:hAnsi="宋体" w:eastAsia="宋体"/>
                <w:szCs w:val="21"/>
                <w:lang w:eastAsia="zh-CN"/>
              </w:rPr>
            </w:pPr>
            <w:r>
              <w:rPr>
                <w:rFonts w:hint="eastAsia" w:ascii="宋体" w:hAnsi="宋体" w:eastAsia="宋体"/>
                <w:szCs w:val="21"/>
                <w:lang w:val="en-US" w:eastAsia="zh-CN"/>
              </w:rPr>
              <w:t>2022年06月28日</w:t>
            </w:r>
          </w:p>
        </w:tc>
      </w:tr>
      <w:tr w14:paraId="42ED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1A6459C5">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16D49B28">
            <w:pPr>
              <w:adjustRightInd w:val="0"/>
              <w:snapToGrid w:val="0"/>
              <w:spacing w:line="288" w:lineRule="auto"/>
              <w:ind w:firstLine="0"/>
              <w:jc w:val="center"/>
              <w:rPr>
                <w:rFonts w:ascii="宋体" w:hAnsi="宋体" w:eastAsia="宋体"/>
                <w:szCs w:val="21"/>
              </w:rPr>
            </w:pPr>
            <w:r>
              <w:rPr>
                <w:rFonts w:ascii="宋体" w:hAnsi="宋体" w:eastAsia="宋体"/>
                <w:szCs w:val="21"/>
              </w:rPr>
              <w:t>组织形式</w:t>
            </w:r>
          </w:p>
        </w:tc>
        <w:tc>
          <w:tcPr>
            <w:tcW w:w="7013" w:type="dxa"/>
            <w:tcMar>
              <w:left w:w="28" w:type="dxa"/>
              <w:right w:w="28" w:type="dxa"/>
            </w:tcMar>
          </w:tcPr>
          <w:p w14:paraId="75511708">
            <w:pPr>
              <w:adjustRightInd w:val="0"/>
              <w:snapToGrid w:val="0"/>
              <w:spacing w:line="288" w:lineRule="auto"/>
              <w:ind w:firstLine="0"/>
              <w:jc w:val="center"/>
              <w:rPr>
                <w:rFonts w:hint="eastAsia" w:ascii="宋体" w:hAnsi="宋体" w:eastAsia="宋体"/>
                <w:szCs w:val="21"/>
                <w:lang w:eastAsia="zh-CN"/>
              </w:rPr>
            </w:pPr>
            <w:r>
              <w:rPr>
                <w:rFonts w:hint="eastAsia" w:ascii="宋体" w:hAnsi="宋体" w:eastAsia="宋体"/>
                <w:szCs w:val="21"/>
                <w:lang w:eastAsia="zh-CN"/>
              </w:rPr>
              <w:t>有限责任公司</w:t>
            </w:r>
          </w:p>
        </w:tc>
      </w:tr>
      <w:tr w14:paraId="4CE4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2F886D4D">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1FD5EC41">
            <w:pPr>
              <w:adjustRightInd w:val="0"/>
              <w:snapToGrid w:val="0"/>
              <w:spacing w:line="288" w:lineRule="auto"/>
              <w:ind w:firstLine="0"/>
              <w:jc w:val="center"/>
              <w:rPr>
                <w:rFonts w:ascii="宋体" w:hAnsi="宋体" w:eastAsia="宋体"/>
                <w:szCs w:val="21"/>
              </w:rPr>
            </w:pPr>
            <w:r>
              <w:rPr>
                <w:rFonts w:ascii="宋体" w:hAnsi="宋体" w:eastAsia="宋体"/>
                <w:szCs w:val="21"/>
              </w:rPr>
              <w:t>基金业协会登记编号</w:t>
            </w:r>
          </w:p>
        </w:tc>
        <w:tc>
          <w:tcPr>
            <w:tcW w:w="7013" w:type="dxa"/>
            <w:tcMar>
              <w:left w:w="28" w:type="dxa"/>
              <w:right w:w="28" w:type="dxa"/>
            </w:tcMar>
          </w:tcPr>
          <w:p w14:paraId="6CD545D0">
            <w:pPr>
              <w:adjustRightInd w:val="0"/>
              <w:snapToGrid w:val="0"/>
              <w:spacing w:line="288" w:lineRule="auto"/>
              <w:ind w:firstLine="0"/>
              <w:jc w:val="center"/>
              <w:rPr>
                <w:rFonts w:hint="eastAsia" w:ascii="宋体" w:hAnsi="宋体" w:eastAsia="宋体"/>
                <w:szCs w:val="21"/>
                <w:lang w:eastAsia="zh-CN"/>
              </w:rPr>
            </w:pPr>
            <w:r>
              <w:rPr>
                <w:rFonts w:hint="eastAsia" w:ascii="宋体" w:hAnsi="宋体" w:eastAsia="宋体"/>
                <w:szCs w:val="21"/>
                <w:lang w:eastAsia="zh-CN"/>
              </w:rPr>
              <w:t>P</w:t>
            </w:r>
            <w:r>
              <w:rPr>
                <w:rFonts w:hint="eastAsia" w:ascii="宋体" w:hAnsi="宋体" w:eastAsia="宋体"/>
                <w:szCs w:val="21"/>
                <w:lang w:val="en-US" w:eastAsia="zh-CN"/>
              </w:rPr>
              <w:t>1073981</w:t>
            </w:r>
          </w:p>
        </w:tc>
      </w:tr>
      <w:tr w14:paraId="0531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6AFCB255">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7B524BCE">
            <w:pPr>
              <w:adjustRightInd w:val="0"/>
              <w:snapToGrid w:val="0"/>
              <w:spacing w:line="288" w:lineRule="auto"/>
              <w:ind w:firstLine="0"/>
              <w:jc w:val="center"/>
              <w:rPr>
                <w:rFonts w:hint="eastAsia" w:ascii="宋体" w:hAnsi="宋体" w:eastAsia="宋体"/>
                <w:szCs w:val="21"/>
                <w:lang w:eastAsia="zh-CN"/>
              </w:rPr>
            </w:pPr>
            <w:r>
              <w:rPr>
                <w:rFonts w:hint="eastAsia" w:ascii="宋体" w:hAnsi="宋体" w:eastAsia="宋体"/>
                <w:szCs w:val="21"/>
                <w:lang w:eastAsia="zh-CN"/>
              </w:rPr>
              <w:t>基金经理</w:t>
            </w:r>
          </w:p>
        </w:tc>
        <w:tc>
          <w:tcPr>
            <w:tcW w:w="7013" w:type="dxa"/>
            <w:tcMar>
              <w:left w:w="28" w:type="dxa"/>
              <w:right w:w="28" w:type="dxa"/>
            </w:tcMar>
          </w:tcPr>
          <w:p w14:paraId="331F29BC">
            <w:pPr>
              <w:adjustRightInd w:val="0"/>
              <w:snapToGrid w:val="0"/>
              <w:spacing w:line="288" w:lineRule="auto"/>
              <w:ind w:firstLine="420"/>
              <w:rPr>
                <w:rFonts w:hint="eastAsia" w:ascii="宋体" w:hAnsi="宋体" w:eastAsia="宋体"/>
                <w:szCs w:val="21"/>
                <w:lang w:eastAsia="zh-CN"/>
              </w:rPr>
            </w:pPr>
          </w:p>
          <w:p w14:paraId="1F331174">
            <w:pPr>
              <w:adjustRightInd w:val="0"/>
              <w:snapToGrid w:val="0"/>
              <w:spacing w:line="288" w:lineRule="auto"/>
              <w:ind w:firstLine="630" w:firstLineChars="300"/>
              <w:rPr>
                <w:rFonts w:hint="eastAsia" w:ascii="宋体" w:hAnsi="宋体" w:eastAsia="宋体"/>
                <w:szCs w:val="21"/>
                <w:lang w:eastAsia="zh-CN"/>
              </w:rPr>
            </w:pPr>
            <w:r>
              <w:rPr>
                <w:rFonts w:hint="eastAsia" w:ascii="宋体" w:hAnsi="宋体" w:eastAsia="宋体"/>
                <w:szCs w:val="21"/>
                <w:lang w:eastAsia="zh-CN"/>
              </w:rPr>
              <w:t>余涛</w:t>
            </w:r>
          </w:p>
        </w:tc>
      </w:tr>
      <w:tr w14:paraId="420F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restart"/>
            <w:tcMar>
              <w:left w:w="28" w:type="dxa"/>
              <w:right w:w="28" w:type="dxa"/>
            </w:tcMar>
            <w:vAlign w:val="center"/>
          </w:tcPr>
          <w:p w14:paraId="4F67E6F7">
            <w:pPr>
              <w:adjustRightInd w:val="0"/>
              <w:snapToGrid w:val="0"/>
              <w:spacing w:line="288" w:lineRule="auto"/>
              <w:ind w:firstLine="0"/>
              <w:jc w:val="center"/>
              <w:rPr>
                <w:rFonts w:ascii="宋体" w:hAnsi="宋体" w:eastAsia="宋体"/>
                <w:b/>
                <w:szCs w:val="21"/>
              </w:rPr>
            </w:pPr>
            <w:r>
              <w:rPr>
                <w:rFonts w:hint="eastAsia" w:ascii="宋体" w:hAnsi="宋体" w:eastAsia="宋体"/>
                <w:b/>
                <w:szCs w:val="21"/>
              </w:rPr>
              <w:t>基金的投资信息</w:t>
            </w:r>
          </w:p>
        </w:tc>
        <w:tc>
          <w:tcPr>
            <w:tcW w:w="2013" w:type="dxa"/>
            <w:tcMar>
              <w:left w:w="28" w:type="dxa"/>
              <w:right w:w="28" w:type="dxa"/>
            </w:tcMar>
            <w:vAlign w:val="center"/>
          </w:tcPr>
          <w:p w14:paraId="6014699F">
            <w:pPr>
              <w:adjustRightInd w:val="0"/>
              <w:snapToGrid w:val="0"/>
              <w:spacing w:line="288" w:lineRule="auto"/>
              <w:ind w:firstLine="0"/>
              <w:jc w:val="center"/>
              <w:rPr>
                <w:rFonts w:ascii="宋体" w:hAnsi="宋体" w:eastAsia="宋体"/>
                <w:szCs w:val="21"/>
              </w:rPr>
            </w:pPr>
            <w:r>
              <w:rPr>
                <w:rFonts w:ascii="宋体" w:hAnsi="宋体" w:eastAsia="宋体"/>
                <w:szCs w:val="21"/>
              </w:rPr>
              <w:t>投资目标</w:t>
            </w:r>
          </w:p>
        </w:tc>
        <w:tc>
          <w:tcPr>
            <w:tcW w:w="7013" w:type="dxa"/>
            <w:tcMar>
              <w:left w:w="28" w:type="dxa"/>
              <w:right w:w="28" w:type="dxa"/>
            </w:tcMar>
          </w:tcPr>
          <w:p w14:paraId="6FEF2F83">
            <w:pPr>
              <w:adjustRightInd w:val="0"/>
              <w:snapToGrid w:val="0"/>
              <w:spacing w:before="93" w:beforeLines="30" w:after="93" w:afterLines="30" w:line="360" w:lineRule="auto"/>
              <w:ind w:firstLine="420" w:firstLineChars="200"/>
              <w:rPr>
                <w:rFonts w:ascii="宋体" w:hAnsi="宋体" w:eastAsia="宋体"/>
                <w:szCs w:val="21"/>
              </w:rPr>
            </w:pPr>
            <w:r>
              <w:rPr>
                <w:rFonts w:hint="eastAsia" w:ascii="宋体" w:hAnsi="宋体" w:eastAsia="宋体"/>
                <w:szCs w:val="21"/>
                <w:lang w:val="en-US" w:eastAsia="zh-CN"/>
              </w:rPr>
              <w:t>本基金通过将基金投资者投入的资金加以集合运用，对资产进行专业化的管理和运用，谋求资产的稳定增值。</w:t>
            </w:r>
          </w:p>
        </w:tc>
      </w:tr>
      <w:tr w14:paraId="5FF6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5633402E">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0731FF4E">
            <w:pPr>
              <w:adjustRightInd w:val="0"/>
              <w:snapToGrid w:val="0"/>
              <w:spacing w:line="288" w:lineRule="auto"/>
              <w:ind w:firstLine="0"/>
              <w:jc w:val="center"/>
              <w:rPr>
                <w:rFonts w:ascii="宋体" w:hAnsi="宋体" w:eastAsia="宋体"/>
                <w:szCs w:val="21"/>
              </w:rPr>
            </w:pPr>
            <w:r>
              <w:rPr>
                <w:rFonts w:ascii="宋体" w:hAnsi="宋体" w:eastAsia="宋体"/>
                <w:szCs w:val="21"/>
              </w:rPr>
              <w:t>投资策略</w:t>
            </w:r>
          </w:p>
        </w:tc>
        <w:tc>
          <w:tcPr>
            <w:tcW w:w="7013" w:type="dxa"/>
            <w:tcMar>
              <w:left w:w="28" w:type="dxa"/>
              <w:right w:w="28" w:type="dxa"/>
            </w:tcMar>
          </w:tcPr>
          <w:p w14:paraId="539CEC7C">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基金主要采取"自下而上"的基本面分析精选策略,根据细致的产业分析和深入的调查研究，精选出适合的期货品种进行适度集中投资，并可结合投资范围约定配置于其他投资标的，如商品期货、股指期货及场内期权等。具体执行的策略为以下三种：</w:t>
            </w:r>
          </w:p>
          <w:p w14:paraId="46294064">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1、趋势跟踪策略：以价量为主要依据，根据期货品种价格走势和交易量的变化，跟随行情短线交易。</w:t>
            </w:r>
          </w:p>
          <w:p w14:paraId="37981305">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2、基本面分析策略：以研究商品基础生产和消费因素、政策及市场供需格局为基础，预测行情变化，以长期投资为主。</w:t>
            </w:r>
          </w:p>
          <w:p w14:paraId="5C8564B2">
            <w:pPr>
              <w:adjustRightInd w:val="0"/>
              <w:snapToGrid w:val="0"/>
              <w:spacing w:before="93" w:beforeLines="30" w:after="93" w:afterLines="30" w:line="360" w:lineRule="auto"/>
              <w:ind w:firstLine="420" w:firstLineChars="200"/>
              <w:rPr>
                <w:rFonts w:ascii="宋体" w:hAnsi="宋体" w:eastAsia="宋体"/>
                <w:szCs w:val="21"/>
              </w:rPr>
            </w:pPr>
            <w:r>
              <w:rPr>
                <w:rFonts w:hint="eastAsia" w:ascii="宋体" w:hAnsi="宋体" w:eastAsia="宋体"/>
                <w:szCs w:val="21"/>
                <w:lang w:val="en-US" w:eastAsia="zh-CN"/>
              </w:rPr>
              <w:t>3、波段交易策略：利用短期市场波动，控制风险，快进快出，获取波段收益。</w:t>
            </w:r>
          </w:p>
        </w:tc>
      </w:tr>
      <w:tr w14:paraId="6897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14377E62">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2FF84481">
            <w:pPr>
              <w:adjustRightInd w:val="0"/>
              <w:snapToGrid w:val="0"/>
              <w:spacing w:line="288" w:lineRule="auto"/>
              <w:ind w:firstLine="0"/>
              <w:jc w:val="center"/>
              <w:rPr>
                <w:rFonts w:ascii="宋体" w:hAnsi="宋体" w:eastAsia="宋体"/>
                <w:szCs w:val="21"/>
              </w:rPr>
            </w:pPr>
            <w:r>
              <w:rPr>
                <w:rFonts w:ascii="宋体" w:hAnsi="宋体" w:eastAsia="宋体"/>
                <w:szCs w:val="21"/>
              </w:rPr>
              <w:t>投资范围</w:t>
            </w:r>
          </w:p>
        </w:tc>
        <w:tc>
          <w:tcPr>
            <w:tcW w:w="7013" w:type="dxa"/>
            <w:tcMar>
              <w:left w:w="28" w:type="dxa"/>
              <w:right w:w="28" w:type="dxa"/>
            </w:tcMar>
          </w:tcPr>
          <w:p w14:paraId="4AB0282E">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1、权益类：国内依法发行上市的股票（含新股申购，包括主板、创业板、科创板等）、优先股、上市公司非公开发行的股票、港股通、交易所上市的存托凭证。</w:t>
            </w:r>
          </w:p>
          <w:p w14:paraId="63025B3A">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2、固定收益类：固定收益类公开募集的证券投资基金、可转换债券、可交换债券、债券通用质押式回购、银行定期存款。</w:t>
            </w:r>
          </w:p>
          <w:p w14:paraId="6C72BD33">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3、期货和衍生品类：金融期货、商品期货、场内期权。</w:t>
            </w:r>
          </w:p>
          <w:p w14:paraId="08D13468">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4、现金管理类：现金、银行活期存款。</w:t>
            </w:r>
          </w:p>
          <w:p w14:paraId="55347104">
            <w:pPr>
              <w:adjustRightInd w:val="0"/>
              <w:snapToGrid w:val="0"/>
              <w:spacing w:line="288" w:lineRule="auto"/>
              <w:ind w:firstLine="420"/>
              <w:rPr>
                <w:rFonts w:ascii="宋体" w:hAnsi="宋体" w:eastAsia="宋体"/>
                <w:szCs w:val="21"/>
              </w:rPr>
            </w:pPr>
          </w:p>
        </w:tc>
      </w:tr>
      <w:tr w14:paraId="3B7E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28B45334">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28E8CD15">
            <w:pPr>
              <w:adjustRightInd w:val="0"/>
              <w:snapToGrid w:val="0"/>
              <w:spacing w:line="288" w:lineRule="auto"/>
              <w:ind w:firstLine="0"/>
              <w:jc w:val="center"/>
              <w:rPr>
                <w:rFonts w:ascii="宋体" w:hAnsi="宋体" w:eastAsia="宋体"/>
                <w:szCs w:val="21"/>
              </w:rPr>
            </w:pPr>
            <w:r>
              <w:rPr>
                <w:rFonts w:ascii="宋体" w:hAnsi="宋体" w:eastAsia="宋体"/>
                <w:szCs w:val="21"/>
              </w:rPr>
              <w:t>投资限制</w:t>
            </w:r>
          </w:p>
        </w:tc>
        <w:tc>
          <w:tcPr>
            <w:tcW w:w="7013" w:type="dxa"/>
            <w:tcMar>
              <w:left w:w="28" w:type="dxa"/>
              <w:right w:w="28" w:type="dxa"/>
            </w:tcMar>
          </w:tcPr>
          <w:p w14:paraId="654C146F">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1、本基金存续期内，基金总资产与净资产的比例不得超过200%。本基金投向AA级及以下信用债(可转债除外)、流动性受限资产合计不超过基金净资产20%。</w:t>
            </w:r>
          </w:p>
          <w:p w14:paraId="74C21C27">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2、按市值计算，本基金直接和间接投资期货和衍生品的持仓合约价值的比例不低于本基金已投资产80%，且期货和衍生品账户权益超过本基金已投资产20%，已投资产不包含现金管理工具。</w:t>
            </w:r>
          </w:p>
          <w:p w14:paraId="1851ADB7">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按市值和成本孰低计算，本基金投资于同一资产的资金，不得超过基金净资产的25%，银行活期存款、国债、中央银行票据、政策性金融债、地方政府债券等中国证监会认可的投资品种除外。同一资产的认定及计算方式：股票、存托凭证、债券、资产支持证券、资产支持票据、同业存单、各类资产管理产品按【单只证券或产品市值】进行计算；期货、期权按单合约占用保证金计算。</w:t>
            </w:r>
          </w:p>
          <w:p w14:paraId="10820313">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4、本基金管理人管理的全部私募证券投资基金投资于同一资产的资金，不得超过该资产的25%，银行活期存款、国债、中央银行票据、政策性金融债、地方政府债券等中国证监会认可的投资品种除外。（本条由管理人自行监控）。</w:t>
            </w:r>
          </w:p>
          <w:p w14:paraId="6F9ABD79">
            <w:pPr>
              <w:adjustRightInd w:val="0"/>
              <w:snapToGrid w:val="0"/>
              <w:spacing w:before="93" w:beforeLines="30" w:after="93" w:afterLines="30"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5、本基金管理人同一实际控制人控制的私募证券基金管理人的自有资金、管理的所有私募证券投资基金、担任投资顾问的资产管理产品合计持有单一上市公司发行的股票不得超过该上市公司可流通股票的30%，中国证监会、协会另有规定的除外（本条由管理人自行监控）。</w:t>
            </w:r>
          </w:p>
          <w:p w14:paraId="3ED5DA87">
            <w:pPr>
              <w:adjustRightInd w:val="0"/>
              <w:snapToGrid w:val="0"/>
              <w:spacing w:before="93" w:beforeLines="30" w:after="93" w:afterLines="30" w:line="360" w:lineRule="auto"/>
              <w:ind w:firstLine="420" w:firstLineChars="200"/>
              <w:rPr>
                <w:rFonts w:ascii="宋体" w:hAnsi="宋体" w:eastAsia="宋体"/>
                <w:szCs w:val="21"/>
              </w:rPr>
            </w:pPr>
          </w:p>
        </w:tc>
      </w:tr>
      <w:tr w14:paraId="53B6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6C61F1E6">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048A0403">
            <w:pPr>
              <w:adjustRightInd w:val="0"/>
              <w:snapToGrid w:val="0"/>
              <w:spacing w:line="288" w:lineRule="auto"/>
              <w:ind w:firstLine="0"/>
              <w:jc w:val="center"/>
              <w:rPr>
                <w:rFonts w:ascii="宋体" w:hAnsi="宋体" w:eastAsia="宋体"/>
                <w:szCs w:val="21"/>
              </w:rPr>
            </w:pPr>
            <w:r>
              <w:rPr>
                <w:rFonts w:ascii="宋体" w:hAnsi="宋体" w:eastAsia="宋体"/>
                <w:szCs w:val="21"/>
              </w:rPr>
              <w:t>业绩比较基准（如有）</w:t>
            </w:r>
          </w:p>
        </w:tc>
        <w:tc>
          <w:tcPr>
            <w:tcW w:w="7013" w:type="dxa"/>
            <w:tcMar>
              <w:left w:w="28" w:type="dxa"/>
              <w:right w:w="28" w:type="dxa"/>
            </w:tcMar>
          </w:tcPr>
          <w:p w14:paraId="57F888A2">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本基金不设业绩比较基准。</w:t>
            </w:r>
          </w:p>
          <w:p w14:paraId="7AEFD49F">
            <w:pPr>
              <w:adjustRightInd w:val="0"/>
              <w:snapToGrid w:val="0"/>
              <w:spacing w:line="288" w:lineRule="auto"/>
              <w:ind w:firstLine="420"/>
              <w:rPr>
                <w:rFonts w:ascii="宋体" w:hAnsi="宋体" w:eastAsia="宋体"/>
                <w:szCs w:val="21"/>
              </w:rPr>
            </w:pPr>
          </w:p>
        </w:tc>
      </w:tr>
      <w:tr w14:paraId="71FD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4" w:type="dxa"/>
            <w:gridSpan w:val="2"/>
            <w:tcMar>
              <w:left w:w="28" w:type="dxa"/>
              <w:right w:w="28" w:type="dxa"/>
            </w:tcMar>
            <w:vAlign w:val="center"/>
          </w:tcPr>
          <w:p w14:paraId="58CDB6D2">
            <w:pPr>
              <w:adjustRightInd w:val="0"/>
              <w:snapToGrid w:val="0"/>
              <w:spacing w:line="288" w:lineRule="auto"/>
              <w:ind w:firstLine="0"/>
              <w:jc w:val="center"/>
              <w:rPr>
                <w:rFonts w:ascii="宋体" w:hAnsi="宋体" w:eastAsia="宋体"/>
                <w:b/>
                <w:szCs w:val="21"/>
              </w:rPr>
            </w:pPr>
            <w:r>
              <w:rPr>
                <w:rFonts w:ascii="宋体" w:hAnsi="宋体" w:eastAsia="宋体"/>
                <w:b/>
                <w:szCs w:val="21"/>
              </w:rPr>
              <w:t>基金的估值信息</w:t>
            </w:r>
          </w:p>
        </w:tc>
        <w:tc>
          <w:tcPr>
            <w:tcW w:w="7013" w:type="dxa"/>
            <w:tcMar>
              <w:left w:w="28" w:type="dxa"/>
              <w:right w:w="28" w:type="dxa"/>
            </w:tcMar>
          </w:tcPr>
          <w:p w14:paraId="352505E5">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（一）基金财产的估值</w:t>
            </w:r>
          </w:p>
          <w:p w14:paraId="685FFB94">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1、基金资产总值</w:t>
            </w:r>
          </w:p>
          <w:p w14:paraId="4543515B">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基金资产总值是指其所购买的各类证券、银行存款及利息、基金各项应收款以及其他资产的价值总和。本基金基金资产总值保留到小数点后2位，小数点后第3位四舍五入。</w:t>
            </w:r>
          </w:p>
          <w:p w14:paraId="4294DBD0">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2、基金资产净值</w:t>
            </w:r>
          </w:p>
          <w:p w14:paraId="63C1868A">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基金资产净值是指基金资产总值减去负债后的净额。基金资产净值保留到小数点后2位，小数点后第3位四舍五入。</w:t>
            </w:r>
          </w:p>
          <w:p w14:paraId="12533D05">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3、基金份额净值</w:t>
            </w:r>
          </w:p>
          <w:p w14:paraId="1E5896FA">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基金份额净值是指计算日基金资产净值除以计算日基金份额总数所得的数值。本基金的基金份额净值保留到小数点后4位，小数点后第5位四舍五入。</w:t>
            </w:r>
          </w:p>
          <w:p w14:paraId="47A4A41A">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4、估值目的</w:t>
            </w:r>
          </w:p>
          <w:p w14:paraId="1238448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基金财产估值目的是客观、准确地反映基金财产的价值，并为基金份额申购、赎回提供计价依据。</w:t>
            </w:r>
          </w:p>
          <w:p w14:paraId="13A9A2AC">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5、估值时间</w:t>
            </w:r>
          </w:p>
          <w:p w14:paraId="6DD259BA">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私募基金管理人或其委托的私募基金服务机构对每个交易日的基金财产进行估值，T+1日与托管人核对估值结果。对于非私募基金托管人原因造成的估值核对时效延误，私募基金托管人不承担责任。</w:t>
            </w:r>
          </w:p>
          <w:p w14:paraId="39C92C15">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6、估值材料的交互要求</w:t>
            </w:r>
          </w:p>
          <w:p w14:paraId="75ACF0AD">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bookmarkStart w:id="0" w:name="_Hlk34476335"/>
            <w:r>
              <w:rPr>
                <w:rFonts w:hint="eastAsia" w:ascii="宋体" w:hAnsi="宋体" w:eastAsia="宋体"/>
                <w:szCs w:val="21"/>
                <w:lang w:val="en-US" w:eastAsia="zh-CN"/>
              </w:rPr>
              <w:t>私募基金管理人应当按照本合同约定提供经托管人认可的相关估值材料供私募基金托管人对基金净值进行复核，自行或敦促第三方机构及时、准确、完整地向私募基金托管人提供相关估值材料：</w:t>
            </w:r>
          </w:p>
          <w:p w14:paraId="069A0EE4">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本基金投资于公募基金、资产管理产品或私募基金管理人发行的私募基金的，私募基金管理人应于标的产品合同等相关协议约定的确权时效内或本基金开放日前提供完整、准确及有效的估值材料（包括但不限于前述投资标的管理人、私募基金服务机构或托管人提供的最新份额净值）作为私募基金托管人确认该笔投资权益的依据。</w:t>
            </w:r>
          </w:p>
          <w:p w14:paraId="5F3A05FC">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私募基金管理人应敦促投资标的的管理人、管理人委托的私募基金服务机构或其他相关方及时、准确、完整地向私募基金托管人提供场外投资标的的份额数量、净值、申赎情况、分红情况以及其他权益变动等估值信息。</w:t>
            </w:r>
          </w:p>
          <w:p w14:paraId="5004877C">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（3）本基金持有场外衍生品（包括但不限于场外收益互换、</w:t>
            </w:r>
            <w:bookmarkStart w:id="1" w:name="_Hlk34849530"/>
            <w:r>
              <w:rPr>
                <w:rFonts w:hint="eastAsia" w:ascii="宋体" w:hAnsi="宋体" w:eastAsia="宋体"/>
                <w:szCs w:val="21"/>
                <w:lang w:val="en-US" w:eastAsia="zh-CN"/>
              </w:rPr>
              <w:t>场外期权、非本金保障型收益凭证</w:t>
            </w:r>
            <w:bookmarkEnd w:id="1"/>
            <w:r>
              <w:rPr>
                <w:rFonts w:hint="eastAsia" w:ascii="宋体" w:hAnsi="宋体" w:eastAsia="宋体"/>
                <w:szCs w:val="21"/>
                <w:lang w:val="en-US" w:eastAsia="zh-CN"/>
              </w:rPr>
              <w:t>、信用衍生品等）合约的，为确保申购、赎回开放日净值复核工作的准确性，以保护全体投资者的利益。</w:t>
            </w:r>
            <w:bookmarkStart w:id="2" w:name="_Hlk34851257"/>
            <w:r>
              <w:rPr>
                <w:rFonts w:hint="eastAsia" w:ascii="宋体" w:hAnsi="宋体" w:eastAsia="宋体"/>
                <w:szCs w:val="21"/>
                <w:lang w:val="en-US" w:eastAsia="zh-CN"/>
              </w:rPr>
              <w:t>私募基金管理人应敦促交易对手方至少按周向私募基金托管人提供该等衍生品的当期合约价值报告。</w:t>
            </w:r>
          </w:p>
          <w:p w14:paraId="58CE9250">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如遇基金开放日（包括临时开放日（如有））、分红权益登记日的，私募基金管理人应</w:t>
            </w:r>
            <w:bookmarkEnd w:id="2"/>
            <w:r>
              <w:rPr>
                <w:rFonts w:hint="eastAsia" w:ascii="宋体" w:hAnsi="宋体" w:eastAsia="宋体"/>
                <w:szCs w:val="21"/>
                <w:lang w:val="en-US" w:eastAsia="zh-CN"/>
              </w:rPr>
              <w:t>敦促交易对手方直接向私募基金托管人发送当期合约价值报告。</w:t>
            </w:r>
          </w:p>
          <w:p w14:paraId="07CFE0FB">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如因私募基金管理人未及时按上述约定向私募基金托管人提供估值材料的，本私募基金开放日份额净值不得作为办理基金份额申购、赎回的依据。如私募基金管理人在前述情形下以开放日份额净值作为办理申购、赎回的依据而造成投资者损失的，由私募基金管理人承担相应责任。</w:t>
            </w:r>
          </w:p>
          <w:p w14:paraId="4CF6AF76">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如因私募基金托管人未及时获得完整、准确及有效的并经托管人认可的估值材料或估值材料记载的信息发生变更致使本基金净值发生波动或无法反映真实资产状况造成投资者损失的，私募基金托管人不承担任何责任。</w:t>
            </w:r>
          </w:p>
          <w:bookmarkEnd w:id="0"/>
          <w:p w14:paraId="2EB61723">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经私募基金托管人事先同意，私募基金管理人可以根据实际情况对上述估值材料交互要求进行新增、删减、调整、变更。</w:t>
            </w:r>
          </w:p>
          <w:p w14:paraId="1AA2685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7、估值对象</w:t>
            </w:r>
          </w:p>
          <w:p w14:paraId="6388B3A8">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基金拥有的所有资产及负债。</w:t>
            </w:r>
          </w:p>
          <w:p w14:paraId="0E6111C5">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8、估值方法</w:t>
            </w:r>
          </w:p>
          <w:p w14:paraId="3CF36EF6">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本基金按以下方式进行估值：</w:t>
            </w:r>
          </w:p>
          <w:p w14:paraId="61F4964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（1）证券交易所上市的有价证券的估值</w:t>
            </w:r>
          </w:p>
          <w:p w14:paraId="7F36037F">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A、证券交易所上市的有价证券（如股票、交易所上市交易的基金、供股权等），以其估值日在证券交易所挂牌的市价（收盘价）估值；估值日无交易的，以最近交易日的市价（收盘价）估值。</w:t>
            </w:r>
          </w:p>
          <w:p w14:paraId="563119F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B、证券交易所上市交易或挂牌转让的固定收益品种（包括但不限于债券、资产支持证券等投资品种，但可转换债券除外），选取第三方估值机构（中证指数有限公司）提供的相应品种当日的估值净价进行估值。如第三方估值机构（中证指数有限公司）不发布估值价的，按历史成本估值。</w:t>
            </w:r>
          </w:p>
          <w:p w14:paraId="34BD27AA">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C、对在证券交易所市场上市交易的可转换债券，选取每日收盘价作为估值全价，减去其中所含当日的债券应收利息得到的净价进行估值；估值日没有交易的，以最近交易日债券收盘价作为全价，减去其中所含截止最近交易日的债券应收利息得到的净价进行估值。</w:t>
            </w:r>
          </w:p>
          <w:p w14:paraId="57A77AED">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bookmarkStart w:id="3" w:name="_Hlk54364857"/>
            <w:r>
              <w:rPr>
                <w:rFonts w:hint="eastAsia" w:ascii="宋体" w:hAnsi="宋体" w:eastAsia="宋体"/>
                <w:szCs w:val="21"/>
                <w:lang w:val="en-US" w:eastAsia="zh-CN"/>
              </w:rPr>
              <w:t>D、本基金投资存托凭证的估值核算，依照境内上市交易的股票进行。</w:t>
            </w:r>
            <w:bookmarkEnd w:id="3"/>
          </w:p>
          <w:p w14:paraId="4F23AB9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（2）处于特定期间的有价证券应区分如下情况处理：</w:t>
            </w:r>
          </w:p>
          <w:p w14:paraId="267AA35D">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A、送股、转增股、配股和增发的新股（前述中有明确锁定期或在发行时明确限售期的股票除外），按估值日在证券交易所挂牌的同一股票的市价（收盘价）估值；该日无交易的，以最近一日的市价（收盘价）估值。</w:t>
            </w:r>
          </w:p>
          <w:p w14:paraId="49D9E2A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B、首次公开发行未上市的有价证券（如股票、交易所上市交易的基金、可转换债券等），按历史成本估值。</w:t>
            </w:r>
          </w:p>
          <w:p w14:paraId="46D8FF8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C、首次公开发行未上市的固定收益品种（包括但不限于债券、资产支持证券等投资品种，但可转换债券除外），选取第三方估值机构提供的相应品种当日的估值净价进行估值。如第三方估值机构不发布估值价的，按历史成本估值。</w:t>
            </w:r>
          </w:p>
          <w:p w14:paraId="0DCFB63D">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D、有明确锁定期或在发行时有明确限售期的股票（不包括全国中小企业股份转让系统的股票），包括但不限于非公开发行股票、首次公开发行股票时公司股东公开发售股份、首次公开发行网下配售有限售期的股票、大宗交易买入有限售期的股票，按监管机构或行业协会的有关规定确定公允价值。对于基金业协会规定的流通受限股票估值取值中的“流通受限股票的流动性折扣”，当估值日【第三方估值机构】未提供该流动性折扣时，则优先采用距估值日最近交易日【第三方估值机构】提供的流动性折扣进行估值处理。若【第三方估值机构】从未提供该流通受限股票的流动性折扣，则按估值日该流通受限股票在证券交易所上市交易的同一股票的市价（收盘价）估值；该日无交易的，以最近一日的市价（收盘价）估值。</w:t>
            </w:r>
          </w:p>
          <w:p w14:paraId="748EED9E">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私募基金管理人应当及时通知私募基金托管人上述股票的锁定/限售情况，如私募基金管理人未及时告知私募基金托管人锁定/限售情况的，则按照无流通受限股票的方法估值。由此造成的后果由私募基金管理人承担，私募基金托管人不承担任何责任。</w:t>
            </w:r>
          </w:p>
          <w:p w14:paraId="2A3EADBA">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特别地，流通受限股票估值取值中的“流通受限股票的流动性折扣”优先采用中央国债登记结算有限责任公司（简称“中债”）提供的数据。若管理人需调整为中证指数有限公司（简称“中证”）提供的数据，则应自行采购中证数据并提前2个工作日书面通知托管人。</w:t>
            </w:r>
          </w:p>
          <w:p w14:paraId="419B7EA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对在全国银行间债券市场交易的固定收益品种（包括但不限于债券、资产支持证券、非公开定向债务融资工具、同业存单等投资品种），选取第三方估值机构（中央国债登记结算有限责任公司）提供的相应品种当日的估值净价进行估值。如第三方估值机构（中央国债登记结算有限责任公司）不发布估值价的，按历史成本估值。</w:t>
            </w:r>
          </w:p>
          <w:p w14:paraId="0555B9F6">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（4）同一债券同时在两个或两个以上市场交易的，按债券所处的市场分别估值。</w:t>
            </w:r>
          </w:p>
          <w:p w14:paraId="44CBD32E">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特别地，上述选用第三方估值机构提供的估值价进行估值的固定收益品种，其中：证券交易所固定收益品种优先按照中证指数有限公司（简称“中证”）提供的估值净价估值，银行间固定收益品种优先按照中央国债登记结算有限责任公司（简称“中债”）提供的估值净价估值。若管理人需调整前述对应第三方机构的，则以书面形式通知托管人。</w:t>
            </w:r>
          </w:p>
          <w:p w14:paraId="5A716A1F">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（5）债券、回购等计息资产按照约定利率在持有期内逐日计提应收利息，在利息到账日以实收利息入账。</w:t>
            </w:r>
          </w:p>
          <w:p w14:paraId="4C00FC0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（6）银行存款每日计提应收利息，按本金加应收利息计入资产；证券、期货资金账户内资金不计提利息，以实际结息数为准。</w:t>
            </w:r>
          </w:p>
          <w:p w14:paraId="5CD09CE9">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（7）基金持有的公募证券投资基金按以下方法估值：</w:t>
            </w:r>
          </w:p>
          <w:p w14:paraId="4A207BB9">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A、未在证券交易所上市交易的基金，按估值日前一交易日的基金份额净值估值；估值日前一交易日基金份额净值无公布的，按此前最近交易日的基金份额净值估值。</w:t>
            </w:r>
          </w:p>
          <w:p w14:paraId="5B374352">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B、货币市场基金以成本列示，按基金管理公司公布的前一交易日（含节假日）的每万份收益计提收益。</w:t>
            </w:r>
          </w:p>
          <w:p w14:paraId="721E75D4">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（8）期货合约以估值日的结算价估值，若估值当日无结算价的，且最近交易日后未发生影响公允价值计量的重大变化的，采用最近交易日结算价估值。法律法规另有规定的，从其规定。</w:t>
            </w:r>
          </w:p>
          <w:p w14:paraId="159B4C7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上海黄金交易所挂盘的贵金属现货实盘合约，以其估值日在上海黄金交易所挂盘的收盘价估值。若估值当日无收盘价的，且最近交易日后未发生影响公允价值计量的重大变化的，以最近交易日的收盘价估值。法律法规另有规定的，从其规定。</w:t>
            </w:r>
          </w:p>
          <w:p w14:paraId="01D0396F">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上海黄金交易所挂盘的贵金属现货延期和即期交收合约，以其估值日在上海黄金交易所挂盘的结算价估值。若估值当日无结算价的，且最近交易日后未发生影响公允价值计量的重大变化的，采用最近交易日结算价估值。法律法规另有规定的，从其规定。</w:t>
            </w:r>
          </w:p>
          <w:p w14:paraId="2C381B83">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（9）基金持有的场内期权，按估值日的结算价估值；估值日没有交易的，按最近交易日的结算价估值。</w:t>
            </w:r>
          </w:p>
          <w:p w14:paraId="7F842F4E">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10）基金持有的场外期权、场外收益互换以及其他金融衍生工具，依据合约盈亏估值结果或估值报告确认合约损益，无法获得或未及时获得合约盈亏估值结果或估值报告的，按最近一次的合约盈亏估值结果或估值报告进行估值，如从未获得合约盈亏估值结果或估值报告的，按历史成本估值。</w:t>
            </w:r>
          </w:p>
          <w:p w14:paraId="0D17B575">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11）基金持有的信用风险缓释工具，选取第三方估值机构提供的相应品种当日的估值价格进行估值，若第三方估值机构未提供估值价格的，依照有关法律法规及企业会计准则的要求采用合理估值技术确定其公允价值。</w:t>
            </w:r>
          </w:p>
          <w:p w14:paraId="6198EF3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12）对于投资的证券公司及证券公司资产管理子公司发行的证券投资类资产管理计划、私募基金管理人（协会登记）发行的证券投资类金融产品（含本私募基金管理人发行的证券投资基金产品）、期货公司及期货公司子公司发行的证券投资类资产管理计划、基金公司及基金公司子公司发行的证券投资类资产管理计划等中国证监会认可的其他金融产品（以下简称“标的产品”），按如下方式进行估值：</w:t>
            </w:r>
          </w:p>
          <w:p w14:paraId="431D12A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A、如管理人在上述标的产品权益确认日提供了权益确认原始凭证，则在确认日当天以原始凭证为依据入账；如管理人无法在权益确认日提供上述标的产品的权益确认原始凭证，则在原始凭证提供日进行确认，并不再对以往账务进行追溯调整。</w:t>
            </w:r>
          </w:p>
          <w:p w14:paraId="4D61611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B、场外投资标的合同或场外投资标的管理人出具的相关文件能够提供固定收益率的投资标的，按成本列示，并每日加计应收利息（或应计收益）进行估值；</w:t>
            </w:r>
          </w:p>
          <w:p w14:paraId="2BD59F32">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C、按面值及每万份收益计价的场外投资标的，以成本列示，按场外投资标的管理人、场外投资标的私募基金服务机构或场外投资标的托管人提供的最新（含节假日）每万份收益计提收益；</w:t>
            </w:r>
          </w:p>
          <w:p w14:paraId="3D4908B9">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D、按管理人或其委托的第三方机构提供的信息（份额数量、收益率、最新份额净值、扣除或有业绩报酬后的份额净值(如有)）估值。</w:t>
            </w:r>
          </w:p>
          <w:p w14:paraId="35E0669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按份额净值计价的场外标的产品，由于私募金融产品的特性可能导致本基金在申购该产品时该产品净值中包含或有的业绩报酬（该笔业绩报酬可能因未到计提时间点、基金净值波动等因素，能否计提及具体计提金额均处于或有状态）。本基金估值时如不予考虑该笔或有业绩报酬影响，以所购买产品份额净值为估值依据，可能发生届时赎回投资者侵蚀未赎回及同期申购投资者利益情况；本基金估值时如以扣除该笔或有业绩报酬后的份额净值为估值依据，可能发生届时申购投资者侵蚀存量投资者及同期赎回投资者利益情况。基于该客观情况，由于当前尚无准确公允的方法解决该问题，故本基金明确界定：当本基金投资场外私募性质金融产品后，本基金采用扣除或有业绩报酬后的份额净值作为估值依据。管理人作为本基金的主会计方，应及时计算所投资私募性质金融产品扣除或有业绩报酬后的份额净值或委托第三方机构计算所投资私募性质金融产品扣除或有业绩报酬后的份额净值，并提供给托管人用于估值核算。如管理人及其委托的第三方机构（如有）无法提供所投资私募性质金融产品扣除或有业绩报酬后的份额净值或所投资私募性质金融产品本身不设置业绩报酬的，则以管理人或其委托的第三方机构提供的所投资私募性质金融产品的最新份额净值作为估值依据。如投资标的份额发生变动，则私募基金管理人或其委托的第三方机构应及时提供份额变动确认凭证。私募基金管理人或其委托的第三方机构应及时向私募基金托管人提供以上信息作为估值依据，并保证所提供的信息真实、完整、准确。</w:t>
            </w:r>
          </w:p>
          <w:p w14:paraId="7CCC9055">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E、如果不属于上述情况的，则基金管理人应向基金托管人提供标的产品的估值方法和估值数据，并确保提供数据的真实、完整和有效。管理人应确保标的产品估值方法的一致性和公允性，并应就估值方法的变更事项及时向投资者披露，如因管理人未及时披露相关信息导致的纠纷，由管理人自行承担责任。</w:t>
            </w:r>
          </w:p>
          <w:p w14:paraId="4ECA1925">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13）基金持有的券商收益凭证，如收益凭证投资协议中有明确预期或固定收益率的，按成本列示并每日加计应收利息（或应计收益）进行估值；没有约定的，按照凭证发行方提供的定期价值报告估值，如无法提供的，由私募基金管理人与私募基金托管人根据本金与收益结算条款协商估值方法（其中包含按历史成本估值）。</w:t>
            </w:r>
          </w:p>
          <w:p w14:paraId="3A337B7B">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14）在全国中小企业股份转让系统挂牌交易的股票，以连续竞价方式或做市转让方式交易的股票，以其估值日挂牌的市价（收盘价）估值，估值日无交易的，以最近交易日的市价（收盘价）估值；以集合竞价方式交易的股票按成本估值。特别地，当股票挂牌交易方式由连续竞价方式或者做市转让方式变更为集合竞价方式时，自转让方式变更日起按该股票变更日前最新的挂牌市价（收盘价）进行估值；由集合竞价方式变更为连续竞价方式或者做市转让方式的股票则自转让方式变更日起按最新的挂牌市价（收盘价）估值，变更日无挂牌市价（收盘价）的，按变更日前该股票的最新估值价格进行估值。本基金通过大宗交易等协议转让方式受让股票的，根据该股票的挂牌交易方式所对应的估值方法进行估值。</w:t>
            </w:r>
          </w:p>
          <w:p w14:paraId="6414EBC2">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（15）证券交易所、新三板退市/摘牌的股份，以退市/摘牌前该股票的最新估值价格进行估值。</w:t>
            </w:r>
          </w:p>
          <w:p w14:paraId="11A555A9">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16）如存在上述估值约定未覆盖的投资品种，基金管理人可根据具体情况制定估值方法，并将估值方法提供给托管人进行估值。如管理人认为上述估值方法不合适，可就相关估值方法进行修改，并将修改后的方法提前通知托管人进行估值。</w:t>
            </w:r>
          </w:p>
          <w:p w14:paraId="0ED3E24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17）如基金管理人和基金托管人对基金份额净值的计算结果不能达成一致时，为避免不能按时公布的情形，以基金管理人计算或确认的结果对外公布，基金管理人应在单方面对外公告基金份额净值计算结果时注明未经基金托管人复核，而基金托管人有权将有关情况向中国证监会报告，由此给基金投资者和基金造成的损失，由基金管理人承担赔偿责任。</w:t>
            </w:r>
          </w:p>
          <w:p w14:paraId="719B916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（18）相关法律法规以及监管部门有强制规定的，从其规定。如有新增事项，按国家最新规定估值。</w:t>
            </w:r>
          </w:p>
          <w:p w14:paraId="78253829">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基金估值核算需要的相关信息，包括但不限于场外交易信息和场外行情信息，如果托管人无法获得相关估值数据，则由管理人负责提供，并且管理人需对数据准确性、完整性和及时性负责。否则，由于上述情况导致的估值不准确、不完整或不及时，托管人不承担责任。</w:t>
            </w:r>
          </w:p>
          <w:p w14:paraId="46E87BE6">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9、汇率</w:t>
            </w:r>
          </w:p>
          <w:p w14:paraId="5FE5FBE5">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若港股通估值计算中涉及港币的，将以中国证券登记结算有限责任公司或交易所提供的汇率进行估值。涉及其他货币的，如中国证券登记结算有限责任公司或交易所估值日提供了该币种兑人民币的汇率，则取该汇率，如未有提供，以双方协商一致的原则确定汇率。</w:t>
            </w:r>
          </w:p>
          <w:p w14:paraId="14FD7C20">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10、税收</w:t>
            </w:r>
          </w:p>
          <w:p w14:paraId="5B8F9BBC">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对于因税收规定调整或其他原因导致基金实际交纳税金与估算的应交税金有差异的，基金将在相关税金调整日或实际支付日进行相应的估值调整。</w:t>
            </w:r>
          </w:p>
          <w:p w14:paraId="2F565968">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11、估值程序</w:t>
            </w:r>
          </w:p>
          <w:p w14:paraId="1EB0CA04">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基金日常估值由基金管理人进行，根据相关法律法规，基金管理人可以委托私募基金服务机构办理基金的估值。基金管理人或其委托的私募基金服务机构完成估值后，将估值结果以书面形式、发送电子对账数据或者双方认可的其他形式送至基金托管人，基金托管人按法律法规、本合同规定的估值方法、时间、程序进行复核，复核无误后在基金管理人发送的书面估值结果上加盖业务章或者发送电子对账结果或者双方认可的其他形式返回给基金管理人或其委托的私募基金服务机构；月末、年中和年末估值复核与基金会计账目的核对同时进行。</w:t>
            </w:r>
          </w:p>
          <w:p w14:paraId="7F42D01E">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在法律法规和中国证监会允许的情况下，基金管理人与基金托管人可以各自委托私募基金服务机构进行基金资产估值，但不改变基金管理人与基金托管人对基金资产估值各自承担的责任。</w:t>
            </w:r>
          </w:p>
          <w:p w14:paraId="413718D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12、估值错误的处理</w:t>
            </w:r>
          </w:p>
          <w:p w14:paraId="79C0D960">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当基金净值发生计算错误超过基金净值0.25%时，视为估值错误。</w:t>
            </w:r>
          </w:p>
          <w:p w14:paraId="76603FF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本合同的当事人应按照以下约定处理：</w:t>
            </w:r>
          </w:p>
          <w:p w14:paraId="6581FB5B">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（1）估值错误类型</w:t>
            </w:r>
          </w:p>
          <w:p w14:paraId="4694C72C">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本基金运作过程中，如果由于基金管理人、基金托管人、证券交易所、私募基金服务机构、募集机构或基金投资者自身的过错造成估值错误，导致其他当事人遭受损失的，按如下估值错误处理原则和处理程序执行。</w:t>
            </w:r>
          </w:p>
          <w:p w14:paraId="54A9B92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上述估值错误的主要类型包括但不限于：资料申报差错、数据传输差错、数据计算差错、系统故障差错、下达指令差错等。</w:t>
            </w:r>
          </w:p>
          <w:p w14:paraId="0E30E2AA">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自然灾害、突发事件、以及因技术原因引起的差错，若系同行业现有技术水平不能预见、不能避免、不能克服，则属不可抗力，由于不可抗力造成基金份额持有人的交易资料灭失或被错误处理或造成其他差错，因不可抗力原因出现差错的当事人不对其他当事人承担赔偿责任，但因该差错取得不当得利的当事人仍应负有返还不当得利的义务。</w:t>
            </w:r>
          </w:p>
          <w:p w14:paraId="047450E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（2）估值错误处理原则</w:t>
            </w:r>
          </w:p>
          <w:p w14:paraId="7D5069C8">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A、如基金管理人或基金托管人发现基金资产估值违反本合同订明的估值方法、程序的规定，导致基金净值发生计算错误超过基金净值0.25%时，应立即通知对方，共同查明原因，协商解决；</w:t>
            </w:r>
          </w:p>
          <w:p w14:paraId="10F722E2">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B、估值错误的责任人应当对由于该估值错误遭受损失的直接当事人的直接损失承担赔偿责任；估值错误的责任人对有关当事人的直接损失负责，不对间接损失负责，并且仅对估值错误的有关直接当事人负责，不对第三方负责；</w:t>
            </w:r>
          </w:p>
          <w:p w14:paraId="7401EA13">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C、因估值错误而获得不当得利的当事人负有及时返还不当得利的义务；</w:t>
            </w:r>
          </w:p>
          <w:p w14:paraId="087DE10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D、估值错误调整采用尽量恢复至假设未发生估值错误的正确情形的方式；</w:t>
            </w:r>
          </w:p>
          <w:p w14:paraId="602E8269">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E、基金管理人和基金托管人由于各自技术系统设置而产生的净值计算尾差，以基金管理人计算结果为准；</w:t>
            </w:r>
          </w:p>
          <w:p w14:paraId="734DF12D">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F、基金管理人按本合同约定的估值方法进行估值时，所造成的误差不作为基金资产估值错误处理；</w:t>
            </w:r>
          </w:p>
          <w:p w14:paraId="102A2EEE">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G、按法律法规规定的其他原则处理估值错误。</w:t>
            </w:r>
          </w:p>
          <w:p w14:paraId="3D57235F">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（3）估值错误处理程序</w:t>
            </w:r>
          </w:p>
          <w:p w14:paraId="52F4D538">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估值错误被发现后，有关的当事人应当及时进行处理，处理的程序如下：</w:t>
            </w:r>
          </w:p>
          <w:p w14:paraId="15A499CA">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A、基金份额净值计算出现错误时，基金管理人应当立即予以纠正，通报基金托管人，并采取合理的措施防止损失进一步扩大；</w:t>
            </w:r>
          </w:p>
          <w:p w14:paraId="66ACA90E">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B、当基金净值发生计算错误超过基金净值0.25%时，查明估值错误发生的原因，根据当事人协商的方法对因估值错误造成的损失进行评估；</w:t>
            </w:r>
          </w:p>
          <w:p w14:paraId="08DE73A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C、根据估值错误处理原则或当事人协商的方法，对估值错误进行处理；</w:t>
            </w:r>
          </w:p>
          <w:p w14:paraId="590780EB">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D、前述内容如法律法规或监管机关另有规定的，从其规定处理。</w:t>
            </w:r>
          </w:p>
          <w:p w14:paraId="0FE99A8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13、暂停估值的情形</w:t>
            </w:r>
          </w:p>
          <w:p w14:paraId="0FD90642">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（1）基金投资所涉及的证券交易场所遇法定节假日或因其他原因暂停营业时；</w:t>
            </w:r>
          </w:p>
          <w:p w14:paraId="13D1B8B8">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（2）因不可抗力或其他情形致使基金管理人、基金托管人无法准确评估基金财产价值时；</w:t>
            </w:r>
          </w:p>
          <w:p w14:paraId="6FA81ACC">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（3）占基金相当比例的投资品种的估值出现重大转变，而基金管理人为保障基金投资者的利益，决定延迟估值的情形；</w:t>
            </w:r>
          </w:p>
          <w:p w14:paraId="1F18E78B">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（4）对于没有或未及时获取交易数据或行情数据、交易数据或行情数据不完整或有误时；</w:t>
            </w:r>
          </w:p>
          <w:p w14:paraId="19777479">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（5）中国证监会认定的其他情形。</w:t>
            </w:r>
          </w:p>
          <w:p w14:paraId="16BC098C">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14、基金份额净值的确认</w:t>
            </w:r>
          </w:p>
          <w:p w14:paraId="46C6ED3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用于基金信息披露的基金份额净值由基金管理人负责计算，基金托管人负责进行复核。基金管理人应于每个估值核对日计算估值日的基金份额净值并发送给基金托管人。基金托管人对份额净值计算结果复核确认后发送给基金管理人。基金份额净值由基金管理人负责对投资者公布。</w:t>
            </w:r>
          </w:p>
          <w:p w14:paraId="58864684">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根据相关法规，基金会计责任方由基金管理人担任。因此，就与本基金有关的会计问题，如经相关各方在平等基础上充分讨论后，仍无法达成一致的意见，基金管理人有权按照其对基金资产净值的计算结果对外予以公布，并承担由此而产生的责任。基金托管人有权将该等情况报相关监管机构备案。</w:t>
            </w:r>
          </w:p>
          <w:p w14:paraId="324C2E5D">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15、特殊情况的处理</w:t>
            </w:r>
          </w:p>
          <w:p w14:paraId="2F9B7BA8">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由于不可抗力、系统等原因，或由于证券交易所、登记结算公司或证券经纪商发送的数据错误，或国家会计政策变更、市场规则变更等，基金管理人和基金托管人虽然已经按照本合同约定的估值方法、程序进行检查，但未能发现错误的，由此造成的基金资产估值错误，基金管理人和基金托管人免除赔偿责任。但基金管理人应当积极采取必要的措施消除由此造成的影响。</w:t>
            </w:r>
          </w:p>
          <w:p w14:paraId="7AE395A6">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（二）基金的会计政策</w:t>
            </w:r>
          </w:p>
          <w:p w14:paraId="07F0F54C">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1、基金管理人为本基金的基金会计责任方；</w:t>
            </w:r>
          </w:p>
          <w:p w14:paraId="41FF1EFB">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2、基金的会计年度为公历年度的1月1日至12月31日；基金首次募集的会计年度按如下原则：如果《基金合同》生效少于2个月，可以并入下一个会计年度；</w:t>
            </w:r>
          </w:p>
          <w:p w14:paraId="735449C3">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3、基金核算以人民币为记账本位币，以人民币元为记账单位；</w:t>
            </w:r>
          </w:p>
          <w:p w14:paraId="039EC218">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4、会计核算制度执行国家有关会计制度；</w:t>
            </w:r>
          </w:p>
          <w:p w14:paraId="7C88B6C2">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5、本基金独立建账、独立核算；</w:t>
            </w:r>
          </w:p>
          <w:p w14:paraId="23D8187B">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6、基金管理人或其委托的私募基金服务机构保留完整的会计账目、凭证并进行日常的会计核算，编制会计报表；基金托管人定期与基金管理人就基金的会计核算、报表编制等进行核对。</w:t>
            </w:r>
          </w:p>
          <w:p w14:paraId="05C9EB28">
            <w:pPr>
              <w:adjustRightInd w:val="0"/>
              <w:snapToGrid w:val="0"/>
              <w:spacing w:line="288" w:lineRule="auto"/>
              <w:ind w:firstLine="0"/>
              <w:rPr>
                <w:rFonts w:ascii="宋体" w:hAnsi="宋体" w:eastAsia="宋体"/>
                <w:szCs w:val="21"/>
              </w:rPr>
            </w:pPr>
          </w:p>
        </w:tc>
      </w:tr>
      <w:tr w14:paraId="5125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restart"/>
            <w:tcMar>
              <w:left w:w="28" w:type="dxa"/>
              <w:right w:w="28" w:type="dxa"/>
            </w:tcMar>
            <w:vAlign w:val="center"/>
          </w:tcPr>
          <w:p w14:paraId="123D8CA6">
            <w:pPr>
              <w:adjustRightInd w:val="0"/>
              <w:snapToGrid w:val="0"/>
              <w:spacing w:line="288" w:lineRule="auto"/>
              <w:ind w:firstLine="0"/>
              <w:jc w:val="center"/>
              <w:rPr>
                <w:rFonts w:ascii="宋体" w:hAnsi="宋体" w:eastAsia="宋体"/>
                <w:b/>
                <w:szCs w:val="21"/>
              </w:rPr>
            </w:pPr>
            <w:r>
              <w:rPr>
                <w:rFonts w:hint="eastAsia" w:ascii="宋体" w:hAnsi="宋体" w:eastAsia="宋体"/>
                <w:b/>
                <w:szCs w:val="21"/>
              </w:rPr>
              <w:t>基金的费用</w:t>
            </w:r>
          </w:p>
        </w:tc>
        <w:tc>
          <w:tcPr>
            <w:tcW w:w="2013" w:type="dxa"/>
            <w:tcMar>
              <w:left w:w="28" w:type="dxa"/>
              <w:right w:w="28" w:type="dxa"/>
            </w:tcMar>
            <w:vAlign w:val="center"/>
          </w:tcPr>
          <w:p w14:paraId="5E497E77">
            <w:pPr>
              <w:adjustRightInd w:val="0"/>
              <w:snapToGrid w:val="0"/>
              <w:spacing w:line="288" w:lineRule="auto"/>
              <w:ind w:firstLine="0"/>
              <w:jc w:val="center"/>
              <w:rPr>
                <w:rFonts w:ascii="宋体" w:hAnsi="宋体" w:eastAsia="宋体"/>
                <w:szCs w:val="21"/>
              </w:rPr>
            </w:pPr>
            <w:r>
              <w:rPr>
                <w:rFonts w:ascii="宋体" w:hAnsi="宋体" w:eastAsia="宋体"/>
                <w:szCs w:val="21"/>
              </w:rPr>
              <w:t>管理费</w:t>
            </w:r>
          </w:p>
        </w:tc>
        <w:tc>
          <w:tcPr>
            <w:tcW w:w="7013" w:type="dxa"/>
            <w:tcMar>
              <w:left w:w="28" w:type="dxa"/>
              <w:right w:w="28" w:type="dxa"/>
            </w:tcMar>
          </w:tcPr>
          <w:p w14:paraId="448583FB">
            <w:pPr>
              <w:adjustRightInd w:val="0"/>
              <w:snapToGrid w:val="0"/>
              <w:spacing w:line="288" w:lineRule="auto"/>
              <w:ind w:firstLine="420"/>
              <w:rPr>
                <w:rFonts w:hint="default" w:ascii="宋体" w:hAnsi="宋体" w:eastAsia="宋体"/>
                <w:szCs w:val="21"/>
                <w:lang w:val="en-US" w:eastAsia="zh-CN"/>
              </w:rPr>
            </w:pPr>
            <w:r>
              <w:rPr>
                <w:rFonts w:hint="eastAsia" w:ascii="宋体" w:hAnsi="宋体" w:eastAsia="宋体"/>
                <w:szCs w:val="21"/>
                <w:lang w:val="en-US" w:eastAsia="zh-CN"/>
              </w:rPr>
              <w:t>1%</w:t>
            </w:r>
          </w:p>
        </w:tc>
      </w:tr>
      <w:tr w14:paraId="3A9C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15361240">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5666ED4D">
            <w:pPr>
              <w:adjustRightInd w:val="0"/>
              <w:snapToGrid w:val="0"/>
              <w:spacing w:line="288" w:lineRule="auto"/>
              <w:ind w:firstLine="0"/>
              <w:jc w:val="center"/>
              <w:rPr>
                <w:rFonts w:ascii="宋体" w:hAnsi="宋体" w:eastAsia="宋体"/>
                <w:szCs w:val="21"/>
              </w:rPr>
            </w:pPr>
            <w:r>
              <w:rPr>
                <w:rFonts w:ascii="宋体" w:hAnsi="宋体" w:eastAsia="宋体"/>
                <w:szCs w:val="21"/>
              </w:rPr>
              <w:t>托管费</w:t>
            </w:r>
          </w:p>
        </w:tc>
        <w:tc>
          <w:tcPr>
            <w:tcW w:w="7013" w:type="dxa"/>
            <w:tcMar>
              <w:left w:w="28" w:type="dxa"/>
              <w:right w:w="28" w:type="dxa"/>
            </w:tcMar>
          </w:tcPr>
          <w:p w14:paraId="45AA8AD3">
            <w:pPr>
              <w:adjustRightInd w:val="0"/>
              <w:snapToGrid w:val="0"/>
              <w:spacing w:line="288" w:lineRule="auto"/>
              <w:ind w:firstLine="420"/>
              <w:rPr>
                <w:rFonts w:ascii="宋体" w:hAnsi="宋体" w:eastAsia="宋体"/>
                <w:szCs w:val="21"/>
              </w:rPr>
            </w:pPr>
            <w:r>
              <w:rPr>
                <w:rFonts w:hint="eastAsia" w:ascii="宋体" w:hAnsi="宋体" w:eastAsia="宋体"/>
                <w:szCs w:val="21"/>
                <w:lang w:val="en-US" w:eastAsia="zh-CN"/>
              </w:rPr>
              <w:t>0.01%</w:t>
            </w:r>
          </w:p>
        </w:tc>
      </w:tr>
      <w:tr w14:paraId="17ED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237575BE">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6C32C194">
            <w:pPr>
              <w:adjustRightInd w:val="0"/>
              <w:snapToGrid w:val="0"/>
              <w:spacing w:line="288" w:lineRule="auto"/>
              <w:ind w:firstLine="0"/>
              <w:jc w:val="center"/>
              <w:rPr>
                <w:rFonts w:ascii="宋体" w:hAnsi="宋体" w:eastAsia="宋体"/>
                <w:szCs w:val="21"/>
              </w:rPr>
            </w:pPr>
            <w:r>
              <w:rPr>
                <w:rFonts w:ascii="宋体" w:hAnsi="宋体" w:eastAsia="宋体"/>
                <w:szCs w:val="21"/>
              </w:rPr>
              <w:t>外包服务费</w:t>
            </w:r>
          </w:p>
        </w:tc>
        <w:tc>
          <w:tcPr>
            <w:tcW w:w="7013" w:type="dxa"/>
            <w:tcMar>
              <w:left w:w="28" w:type="dxa"/>
              <w:right w:w="28" w:type="dxa"/>
            </w:tcMar>
          </w:tcPr>
          <w:p w14:paraId="72393683">
            <w:pPr>
              <w:adjustRightInd w:val="0"/>
              <w:snapToGrid w:val="0"/>
              <w:spacing w:line="288" w:lineRule="auto"/>
              <w:ind w:firstLine="420"/>
              <w:rPr>
                <w:rFonts w:ascii="宋体" w:hAnsi="宋体" w:eastAsia="宋体"/>
                <w:szCs w:val="21"/>
              </w:rPr>
            </w:pPr>
            <w:r>
              <w:rPr>
                <w:rFonts w:hint="eastAsia" w:ascii="宋体" w:hAnsi="宋体" w:eastAsia="宋体"/>
                <w:szCs w:val="21"/>
                <w:lang w:val="en-US" w:eastAsia="zh-CN"/>
              </w:rPr>
              <w:t>0.01%</w:t>
            </w:r>
          </w:p>
        </w:tc>
      </w:tr>
      <w:tr w14:paraId="778A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7F205541">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16739EBE">
            <w:pPr>
              <w:adjustRightInd w:val="0"/>
              <w:snapToGrid w:val="0"/>
              <w:spacing w:line="288" w:lineRule="auto"/>
              <w:ind w:firstLine="0"/>
              <w:jc w:val="center"/>
              <w:rPr>
                <w:rFonts w:ascii="宋体" w:hAnsi="宋体" w:eastAsia="宋体"/>
                <w:szCs w:val="21"/>
              </w:rPr>
            </w:pPr>
            <w:r>
              <w:rPr>
                <w:rFonts w:ascii="宋体" w:hAnsi="宋体" w:eastAsia="宋体"/>
                <w:szCs w:val="21"/>
              </w:rPr>
              <w:t>业绩报酬</w:t>
            </w:r>
          </w:p>
        </w:tc>
        <w:tc>
          <w:tcPr>
            <w:tcW w:w="7013" w:type="dxa"/>
            <w:tcMar>
              <w:left w:w="28" w:type="dxa"/>
              <w:right w:w="28" w:type="dxa"/>
            </w:tcMar>
          </w:tcPr>
          <w:p w14:paraId="4F99F250">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（1）业绩报酬计提原则</w:t>
            </w:r>
          </w:p>
          <w:p w14:paraId="5FF1C4F2">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符合业绩报酬计提条件时，在基金份额持有人赎回申请日、本基金清算日、财产分配权益登记日采用“实际收益率”法计提业绩报酬。实际发生业绩报酬计提的基准日为业绩报酬计提日。</w:t>
            </w:r>
          </w:p>
          <w:p w14:paraId="591D689B">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本基金连续两次计提业绩报酬的间隔期不得短于6个月，基金份额持有人赎回基金份额、本基金清算、以及合同约定的其他业绩报酬计提基准日遇非交易日顺延的情况不受前述间隔期限制。</w:t>
            </w:r>
          </w:p>
          <w:p w14:paraId="5842E35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（2）业绩报酬计提方法</w:t>
            </w:r>
          </w:p>
          <w:p w14:paraId="19186310">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以业绩报酬计提期间的实际收益率R，作为计提业绩报酬的基准。</w:t>
            </w:r>
          </w:p>
          <w:p w14:paraId="579D2A36">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object>
                <v:shape id="_x0000_i1025" o:spt="75" type="#_x0000_t75" style="height:28.5pt;width:86.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14:paraId="1FE374EB">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A＝为本次业绩报酬基准日基金份额累计净值；</w:t>
            </w:r>
          </w:p>
          <w:p w14:paraId="740910DE">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B＝为上一个业绩报酬计提日（若无则为份额参与本基金日）的基金份额累计净值；</w:t>
            </w:r>
          </w:p>
          <w:p w14:paraId="1AD90904">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C＝为上一个业绩报酬计提日（若无则为份额参与本基金日）的基金份额净值。</w:t>
            </w:r>
          </w:p>
          <w:p w14:paraId="133B9561">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业绩报酬计提基准日为基金份额持有人赎回申请日、本基金清算日、财产分配权益登记日。</w:t>
            </w:r>
          </w:p>
          <w:p w14:paraId="6FDE632E">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从前一次业绩报酬计提日（若无则为份额参与本基金日）至本次业绩报酬基准日，若基金单位份额实际收益率R小于或等于0%时，管理人不提取业绩报酬；若基金单位份额实际收益率R大于0%，管理人对0%至15%（含）部分提取30%作为业绩报酬，对15%至30%（含）部分提取40%作为业绩报酬，对大于30%的部分提取50%作为业绩报酬。</w:t>
            </w:r>
          </w:p>
          <w:tbl>
            <w:tblPr>
              <w:tblStyle w:val="10"/>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7020"/>
            </w:tblGrid>
            <w:tr w14:paraId="1B9D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tcBorders>
                    <w:top w:val="single" w:color="auto" w:sz="4" w:space="0"/>
                    <w:left w:val="single" w:color="auto" w:sz="4" w:space="0"/>
                    <w:bottom w:val="single" w:color="auto" w:sz="4" w:space="0"/>
                    <w:right w:val="single" w:color="auto" w:sz="4" w:space="0"/>
                  </w:tcBorders>
                  <w:tcMar>
                    <w:left w:w="28" w:type="dxa"/>
                    <w:right w:w="28" w:type="dxa"/>
                  </w:tcMar>
                </w:tcPr>
                <w:p w14:paraId="418FDDB6">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实际收益率（R）</w:t>
                  </w:r>
                </w:p>
              </w:tc>
              <w:tc>
                <w:tcPr>
                  <w:tcW w:w="7020" w:type="dxa"/>
                  <w:tcBorders>
                    <w:top w:val="single" w:color="auto" w:sz="4" w:space="0"/>
                    <w:left w:val="single" w:color="auto" w:sz="4" w:space="0"/>
                    <w:bottom w:val="single" w:color="auto" w:sz="4" w:space="0"/>
                    <w:right w:val="single" w:color="auto" w:sz="4" w:space="0"/>
                  </w:tcBorders>
                  <w:tcMar>
                    <w:left w:w="28" w:type="dxa"/>
                    <w:right w:w="28" w:type="dxa"/>
                  </w:tcMar>
                </w:tcPr>
                <w:p w14:paraId="47396EA7">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业绩报酬（H）计算方法</w:t>
                  </w:r>
                </w:p>
              </w:tc>
            </w:tr>
            <w:tr w14:paraId="5284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91745ED">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R≤0%</w:t>
                  </w:r>
                </w:p>
              </w:tc>
              <w:tc>
                <w:tcPr>
                  <w:tcW w:w="7020" w:type="dxa"/>
                  <w:tcBorders>
                    <w:top w:val="single" w:color="auto" w:sz="4" w:space="0"/>
                    <w:left w:val="single" w:color="auto" w:sz="4" w:space="0"/>
                    <w:bottom w:val="single" w:color="auto" w:sz="4" w:space="0"/>
                    <w:right w:val="single" w:color="auto" w:sz="4" w:space="0"/>
                  </w:tcBorders>
                  <w:tcMar>
                    <w:left w:w="28" w:type="dxa"/>
                    <w:right w:w="28" w:type="dxa"/>
                  </w:tcMar>
                </w:tcPr>
                <w:p w14:paraId="0CE27FCD">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H=0</w:t>
                  </w:r>
                </w:p>
              </w:tc>
            </w:tr>
            <w:tr w14:paraId="4A4C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6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23294CC">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0%＜R≤15%</w:t>
                  </w:r>
                </w:p>
              </w:tc>
              <w:tc>
                <w:tcPr>
                  <w:tcW w:w="7020" w:type="dxa"/>
                  <w:tcBorders>
                    <w:top w:val="single" w:color="auto" w:sz="4" w:space="0"/>
                    <w:left w:val="single" w:color="auto" w:sz="4" w:space="0"/>
                    <w:bottom w:val="single" w:color="auto" w:sz="4" w:space="0"/>
                    <w:right w:val="single" w:color="auto" w:sz="4" w:space="0"/>
                  </w:tcBorders>
                  <w:tcMar>
                    <w:left w:w="28" w:type="dxa"/>
                    <w:right w:w="28" w:type="dxa"/>
                  </w:tcMar>
                </w:tcPr>
                <w:p w14:paraId="69831712">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H=(R-0%)×30%×C×F</w:t>
                  </w:r>
                </w:p>
              </w:tc>
            </w:tr>
            <w:tr w14:paraId="5077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6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A375CF9">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15%＜R≤30%</w:t>
                  </w:r>
                </w:p>
              </w:tc>
              <w:tc>
                <w:tcPr>
                  <w:tcW w:w="7020" w:type="dxa"/>
                  <w:tcBorders>
                    <w:top w:val="single" w:color="auto" w:sz="4" w:space="0"/>
                    <w:left w:val="single" w:color="auto" w:sz="4" w:space="0"/>
                    <w:bottom w:val="single" w:color="auto" w:sz="4" w:space="0"/>
                    <w:right w:val="single" w:color="auto" w:sz="4" w:space="0"/>
                  </w:tcBorders>
                  <w:tcMar>
                    <w:left w:w="28" w:type="dxa"/>
                    <w:right w:w="28" w:type="dxa"/>
                  </w:tcMar>
                </w:tcPr>
                <w:p w14:paraId="08F67854">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H=[(15%-0%)×30%+(R-15%)×40%]×C×F</w:t>
                  </w:r>
                </w:p>
              </w:tc>
            </w:tr>
            <w:tr w14:paraId="086B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6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D153648">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30%＜R</w:t>
                  </w:r>
                </w:p>
              </w:tc>
              <w:tc>
                <w:tcPr>
                  <w:tcW w:w="7020" w:type="dxa"/>
                  <w:tcBorders>
                    <w:top w:val="single" w:color="auto" w:sz="4" w:space="0"/>
                    <w:left w:val="single" w:color="auto" w:sz="4" w:space="0"/>
                    <w:bottom w:val="single" w:color="auto" w:sz="4" w:space="0"/>
                    <w:right w:val="single" w:color="auto" w:sz="4" w:space="0"/>
                  </w:tcBorders>
                  <w:tcMar>
                    <w:left w:w="28" w:type="dxa"/>
                    <w:right w:w="28" w:type="dxa"/>
                  </w:tcMar>
                </w:tcPr>
                <w:p w14:paraId="71D03A0D">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H=[(15%-0%)×30%+(30%-15%)×40%+(R-30%)×50%]×C×F</w:t>
                  </w:r>
                </w:p>
              </w:tc>
            </w:tr>
          </w:tbl>
          <w:p w14:paraId="022AC8AF">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C为上一个业绩报酬计提日（若无则为份额参与本基金日）的基金份额净值；</w:t>
            </w:r>
          </w:p>
          <w:p w14:paraId="3E618816">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F为业绩报酬基准日投资者单笔投资持有（适用于清算日、财产分配权益登记日计提业绩报酬）或退出份额（适用于赎回申请日计提业绩报酬）。</w:t>
            </w:r>
          </w:p>
          <w:p w14:paraId="3EAE9BC5">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当发生财产分配时，管理人在财产分配前先按照业绩报酬提取公式计算每个基金份额持有人的应计提业绩报酬金额，然后在派发财产分配时从财产分配金额中扣除业绩报酬；当财产分配金额不足于扣除业绩报酬时，以财产分配金额为限扣除业绩报酬，不足部分不再另行弥补。</w:t>
            </w:r>
          </w:p>
          <w:p w14:paraId="4B9AB500">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业绩报酬采用按账户计提的方式，多次申赎的基金份额在确定份额参与日或最近报酬计提日时采用“先进先出”法。</w:t>
            </w:r>
          </w:p>
          <w:p w14:paraId="091E9213">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业绩报酬的计算保留到小数点后2位，小数点后第3位四舍五入，由此带来的收益和损失归入基金资产。</w:t>
            </w:r>
          </w:p>
          <w:p w14:paraId="74D6AAE8">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（3）业绩报酬的支付</w:t>
            </w:r>
          </w:p>
          <w:p w14:paraId="0845F14C">
            <w:pPr>
              <w:pStyle w:val="22"/>
              <w:numPr>
                <w:ilvl w:val="255"/>
                <w:numId w:val="0"/>
              </w:numPr>
              <w:adjustRightInd w:val="0"/>
              <w:snapToGrid w:val="0"/>
              <w:spacing w:line="324"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私募基金管理人的业绩报酬的计算工作由私募基金管理人或者其委托的私募基金服务机构完成，私募基金管理人复核。复核无误后由私募基金管理人向私募基金托管人发送划付指令，私募基金托管人于收到指令后5个工作日内从基金资产中一次性支付给私募基金管理人。</w:t>
            </w:r>
          </w:p>
          <w:p w14:paraId="7769AA9E">
            <w:pPr>
              <w:adjustRightInd w:val="0"/>
              <w:snapToGrid w:val="0"/>
              <w:spacing w:line="288" w:lineRule="auto"/>
              <w:ind w:firstLine="0"/>
              <w:jc w:val="center"/>
              <w:rPr>
                <w:rFonts w:ascii="宋体" w:hAnsi="宋体" w:eastAsia="宋体"/>
                <w:szCs w:val="21"/>
              </w:rPr>
            </w:pPr>
          </w:p>
        </w:tc>
      </w:tr>
      <w:tr w14:paraId="2E42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restart"/>
            <w:tcMar>
              <w:left w:w="28" w:type="dxa"/>
              <w:right w:w="28" w:type="dxa"/>
            </w:tcMar>
            <w:vAlign w:val="center"/>
          </w:tcPr>
          <w:p w14:paraId="27F83DAA">
            <w:pPr>
              <w:adjustRightInd w:val="0"/>
              <w:snapToGrid w:val="0"/>
              <w:spacing w:line="288" w:lineRule="auto"/>
              <w:ind w:firstLine="0"/>
              <w:jc w:val="center"/>
              <w:rPr>
                <w:rFonts w:ascii="宋体" w:hAnsi="宋体" w:eastAsia="宋体"/>
                <w:b/>
                <w:szCs w:val="21"/>
              </w:rPr>
            </w:pPr>
            <w:r>
              <w:rPr>
                <w:rFonts w:hint="eastAsia" w:ascii="宋体" w:hAnsi="宋体" w:eastAsia="宋体"/>
                <w:b/>
                <w:szCs w:val="21"/>
              </w:rPr>
              <w:t>基金合同主要条款</w:t>
            </w:r>
          </w:p>
        </w:tc>
        <w:tc>
          <w:tcPr>
            <w:tcW w:w="2013" w:type="dxa"/>
            <w:tcMar>
              <w:left w:w="28" w:type="dxa"/>
              <w:right w:w="28" w:type="dxa"/>
            </w:tcMar>
            <w:vAlign w:val="center"/>
          </w:tcPr>
          <w:p w14:paraId="796269C9">
            <w:pPr>
              <w:adjustRightInd w:val="0"/>
              <w:snapToGrid w:val="0"/>
              <w:spacing w:line="288" w:lineRule="auto"/>
              <w:ind w:firstLine="0"/>
              <w:jc w:val="center"/>
              <w:rPr>
                <w:rFonts w:ascii="宋体" w:hAnsi="宋体" w:eastAsia="宋体"/>
                <w:szCs w:val="21"/>
              </w:rPr>
            </w:pPr>
            <w:r>
              <w:rPr>
                <w:rFonts w:ascii="宋体" w:hAnsi="宋体" w:eastAsia="宋体"/>
                <w:szCs w:val="21"/>
              </w:rPr>
              <w:t>出资方式</w:t>
            </w:r>
          </w:p>
        </w:tc>
        <w:tc>
          <w:tcPr>
            <w:tcW w:w="7013" w:type="dxa"/>
            <w:tcMar>
              <w:left w:w="28" w:type="dxa"/>
              <w:right w:w="28" w:type="dxa"/>
            </w:tcMar>
          </w:tcPr>
          <w:p w14:paraId="4F814BB7">
            <w:pPr>
              <w:adjustRightInd w:val="0"/>
              <w:snapToGrid w:val="0"/>
              <w:spacing w:line="288" w:lineRule="auto"/>
              <w:ind w:firstLine="420"/>
              <w:rPr>
                <w:rFonts w:ascii="宋体" w:hAnsi="宋体" w:eastAsia="宋体"/>
                <w:szCs w:val="21"/>
              </w:rPr>
            </w:pPr>
            <w:r>
              <w:rPr>
                <w:rFonts w:hint="eastAsia" w:ascii="宋体" w:hAnsi="宋体" w:eastAsia="宋体"/>
                <w:szCs w:val="21"/>
              </w:rPr>
              <w:t>银行资金转账方式</w:t>
            </w:r>
          </w:p>
        </w:tc>
      </w:tr>
      <w:tr w14:paraId="0C72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48BC6F91">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0010D6E3">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申购、赎回和转让等条款和要求</w:t>
            </w:r>
          </w:p>
        </w:tc>
        <w:tc>
          <w:tcPr>
            <w:tcW w:w="7013" w:type="dxa"/>
            <w:tcMar>
              <w:left w:w="28" w:type="dxa"/>
              <w:right w:w="28" w:type="dxa"/>
            </w:tcMar>
          </w:tcPr>
          <w:p w14:paraId="2E853856">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基金份额持有人可以通过现时或将来法律、法规或业务规则允许的方式办理基金份额转让业务，并应当遵守业务办理机构和交易场所的各项规定。业务办理机构和交易场所如开展份额转让业务，在份额登记机构参与完成测试联通后方可进行基金份额转让。</w:t>
            </w:r>
          </w:p>
          <w:p w14:paraId="47CF0053">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基金份额转让须按照中国基金业协会要求进行份额登记。转让期间及转让后，持有基金份额的合格投资者数量合计不得超过200人，且基金份额持有人仅可向符合《私募办法》规定的合格投资者转让基金份额。如果份额转让因不符合法律法规或业务办理机构的规则未办理成功的，基金份额持有人应当自行承担相应风险和损失。</w:t>
            </w:r>
          </w:p>
          <w:p w14:paraId="455EB704">
            <w:pPr>
              <w:adjustRightInd w:val="0"/>
              <w:snapToGrid w:val="0"/>
              <w:spacing w:line="288" w:lineRule="auto"/>
              <w:ind w:firstLine="420"/>
              <w:rPr>
                <w:rFonts w:ascii="宋体" w:hAnsi="宋体" w:eastAsia="宋体"/>
                <w:szCs w:val="21"/>
              </w:rPr>
            </w:pPr>
          </w:p>
        </w:tc>
      </w:tr>
      <w:tr w14:paraId="7D6B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30FF61CD">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5057D202">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收益分配和亏损分担方式</w:t>
            </w:r>
          </w:p>
        </w:tc>
        <w:tc>
          <w:tcPr>
            <w:tcW w:w="7013" w:type="dxa"/>
            <w:tcMar>
              <w:left w:w="28" w:type="dxa"/>
              <w:right w:w="28" w:type="dxa"/>
            </w:tcMar>
          </w:tcPr>
          <w:p w14:paraId="54207D14">
            <w:pPr>
              <w:adjustRightInd w:val="0"/>
              <w:snapToGrid w:val="0"/>
              <w:spacing w:line="288" w:lineRule="auto"/>
              <w:ind w:firstLine="420"/>
              <w:rPr>
                <w:rFonts w:ascii="宋体" w:hAnsi="宋体" w:eastAsia="宋体"/>
                <w:szCs w:val="21"/>
              </w:rPr>
            </w:pPr>
            <w:r>
              <w:rPr>
                <w:rFonts w:hint="eastAsia" w:ascii="宋体" w:hAnsi="宋体" w:eastAsia="宋体"/>
                <w:szCs w:val="21"/>
              </w:rPr>
              <w:t>各同类基金份额享有同等收益，共同承担基金亏损的风险</w:t>
            </w:r>
          </w:p>
        </w:tc>
      </w:tr>
      <w:tr w14:paraId="2052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17860F77">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0D0C084C">
            <w:pPr>
              <w:adjustRightInd w:val="0"/>
              <w:snapToGrid w:val="0"/>
              <w:spacing w:line="288" w:lineRule="auto"/>
              <w:ind w:firstLine="0"/>
              <w:jc w:val="center"/>
              <w:rPr>
                <w:rFonts w:ascii="宋体" w:hAnsi="宋体" w:eastAsia="宋体"/>
                <w:szCs w:val="21"/>
              </w:rPr>
            </w:pPr>
            <w:r>
              <w:rPr>
                <w:rFonts w:ascii="宋体" w:hAnsi="宋体" w:eastAsia="宋体"/>
                <w:szCs w:val="21"/>
              </w:rPr>
              <w:t>收益分配方案</w:t>
            </w:r>
          </w:p>
        </w:tc>
        <w:tc>
          <w:tcPr>
            <w:tcW w:w="7013" w:type="dxa"/>
            <w:tcMar>
              <w:left w:w="28" w:type="dxa"/>
              <w:right w:w="28" w:type="dxa"/>
            </w:tcMar>
          </w:tcPr>
          <w:p w14:paraId="370DBD6E">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（一）可供分配财产的构成</w:t>
            </w:r>
          </w:p>
          <w:p w14:paraId="2528EFF7">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本私募基金可供分配财产为截至财产分配基准日基金未分配财产。</w:t>
            </w:r>
          </w:p>
          <w:p w14:paraId="2E8AA9C1">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私募基金财产包括：基金本金、投资所得红利、股息、债券利息、证券投资收益、证券持有期间的公允价值变动、银行存款利息以及其他收入。</w:t>
            </w:r>
          </w:p>
          <w:p w14:paraId="189F0E7B">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基金未分配财产是指基金的利息收入、投资收益、公允价值变动收益及其他收入等基金运作产生的各项收入扣除管理费、托管费、外包服务费等基金运作产生的各项费用后的余额。</w:t>
            </w:r>
          </w:p>
          <w:p w14:paraId="28FB5575">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（二）财产分配原则</w:t>
            </w:r>
          </w:p>
          <w:p w14:paraId="4D0A3C00">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1、每一相同类别的基金份额享有同等分配权。</w:t>
            </w:r>
          </w:p>
          <w:p w14:paraId="1CACA551">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2、本私募基金的财产分配采用两种分配方式：现金财产分配或财产分配再投资（除本合同另有约定外，财产分配再投资份额无需按合同约定缴纳申购费（如有）并不适用每笔份额最短持有期限限制（如有））；基金份额计算保留到小数点后两位，小数点后两位以后的部分四舍五入，由此产生的差额部分计入基金资产的损益；本基金默认的财产分配方式是现金财产分配。基金投资者首次参与本基金时，持有份额的财产分配方式为合同约定的默认财产分配方式。如需修改，请投资者联系募集机构提交财产分配方式变更申请。</w:t>
            </w:r>
          </w:p>
          <w:p w14:paraId="264EDBAF">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3、本私募基金每个运作年度财产分配次数分配时间和分配金额均由私募基金管理人自行决定。</w:t>
            </w:r>
          </w:p>
          <w:p w14:paraId="3A4E9873">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4、财产分配时发生的银行转账等手续费用由基金份额持有人自行承担。</w:t>
            </w:r>
          </w:p>
          <w:p w14:paraId="743B3F61">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5、基金财产分配基准日对应类别的私募基金份额净值减去每单位基金份额财产分配金额后不能低于面值。</w:t>
            </w:r>
          </w:p>
          <w:p w14:paraId="1FFB50A5">
            <w:pPr>
              <w:numPr>
                <w:ilvl w:val="255"/>
                <w:numId w:val="0"/>
              </w:numPr>
              <w:adjustRightInd w:val="0"/>
              <w:snapToGrid w:val="0"/>
              <w:spacing w:before="93" w:beforeLines="30" w:after="93" w:afterLines="30" w:line="360" w:lineRule="auto"/>
              <w:ind w:firstLine="420" w:firstLineChars="200"/>
              <w:rPr>
                <w:rFonts w:hint="eastAsia" w:ascii="宋体" w:hAnsi="宋体" w:eastAsia="宋体"/>
                <w:szCs w:val="21"/>
              </w:rPr>
            </w:pPr>
            <w:r>
              <w:rPr>
                <w:rFonts w:hint="eastAsia" w:ascii="宋体" w:hAnsi="宋体" w:eastAsia="宋体"/>
                <w:szCs w:val="21"/>
              </w:rPr>
              <w:t>6、本基金依据基金合同约定进行财产分配，由于本基金在实际对基金份额持有人进行财产分配前会依据基金合同的约定计提业绩报酬，计提方法为：（1）对自基金投资者认购或申购本基金份额申请日开始至财产分配日（适用首次计提业绩报酬情况）；（2）最近一个业绩报酬计提日至财产分配日（适用已发生过业绩报酬计提情况），对应的基金份额净值增值部分按照既定方式计提业绩报酬，并在每一基金份额持有人拟财产分配金额中予以扣除，不足部分不再弥补。该等情况下可能存在拟财产分配金额小于业绩报酬计提金额，拟财产分配金额全部作为业绩报酬支付给私募基金管理人，即基金虽发生财产分配行为但基金份额持有人可能不能获得实际的现金财产分配，仅提升了本基金业绩报酬计提对应的基金份额水位线标准。</w:t>
            </w:r>
          </w:p>
          <w:p w14:paraId="07518CB5">
            <w:pPr>
              <w:numPr>
                <w:ilvl w:val="255"/>
                <w:numId w:val="0"/>
              </w:numPr>
              <w:adjustRightInd w:val="0"/>
              <w:snapToGrid w:val="0"/>
              <w:spacing w:before="93" w:beforeLines="30" w:after="93" w:afterLines="30" w:line="360" w:lineRule="auto"/>
              <w:ind w:firstLine="420" w:firstLineChars="200"/>
              <w:rPr>
                <w:rFonts w:hint="eastAsia" w:ascii="宋体" w:hAnsi="宋体" w:eastAsia="宋体"/>
                <w:szCs w:val="21"/>
              </w:rPr>
            </w:pPr>
            <w:r>
              <w:rPr>
                <w:rFonts w:hint="eastAsia" w:ascii="宋体" w:hAnsi="宋体" w:eastAsia="宋体"/>
                <w:szCs w:val="21"/>
              </w:rPr>
              <w:t>若本基金存在因财产分配而触发计提业绩报酬的情形，则该次财产分配日距离本基金上一次实际发生业绩报酬计提日不得短于6个月，否则该次财产分配不作业绩报酬计提。私募基金管理人在基金份额持有人赎回基金份额时或在本基金清算时计提业绩报酬的，不受前述间隔期的限制。</w:t>
            </w:r>
          </w:p>
          <w:p w14:paraId="5E8FA929">
            <w:pPr>
              <w:numPr>
                <w:ilvl w:val="255"/>
                <w:numId w:val="0"/>
              </w:numPr>
              <w:adjustRightInd w:val="0"/>
              <w:snapToGrid w:val="0"/>
              <w:spacing w:before="93" w:beforeLines="30" w:after="93" w:afterLines="30" w:line="360" w:lineRule="auto"/>
              <w:ind w:firstLine="420" w:firstLineChars="200"/>
              <w:rPr>
                <w:rFonts w:hint="eastAsia" w:ascii="宋体" w:hAnsi="宋体" w:eastAsia="宋体"/>
                <w:szCs w:val="21"/>
              </w:rPr>
            </w:pPr>
            <w:r>
              <w:rPr>
                <w:rFonts w:hint="eastAsia" w:ascii="宋体" w:hAnsi="宋体" w:eastAsia="宋体"/>
                <w:szCs w:val="21"/>
              </w:rPr>
              <w:t>7、法律法规或监管机构另有规定的，从其规定。</w:t>
            </w:r>
          </w:p>
          <w:p w14:paraId="48596695">
            <w:pPr>
              <w:numPr>
                <w:ilvl w:val="255"/>
                <w:numId w:val="0"/>
              </w:numPr>
              <w:adjustRightInd w:val="0"/>
              <w:snapToGrid w:val="0"/>
              <w:spacing w:before="93" w:beforeLines="30" w:after="93" w:afterLines="30" w:line="360" w:lineRule="auto"/>
              <w:ind w:firstLine="420" w:firstLineChars="200"/>
              <w:rPr>
                <w:rFonts w:hint="eastAsia" w:ascii="宋体" w:hAnsi="宋体" w:eastAsia="宋体"/>
                <w:szCs w:val="21"/>
              </w:rPr>
            </w:pPr>
            <w:r>
              <w:rPr>
                <w:rFonts w:hint="eastAsia" w:ascii="宋体" w:hAnsi="宋体" w:eastAsia="宋体"/>
                <w:szCs w:val="21"/>
              </w:rPr>
              <w:t>（三）财产分配方案的确定与通知</w:t>
            </w:r>
          </w:p>
          <w:p w14:paraId="28C1300E">
            <w:pPr>
              <w:numPr>
                <w:ilvl w:val="255"/>
                <w:numId w:val="0"/>
              </w:numPr>
              <w:adjustRightInd w:val="0"/>
              <w:snapToGrid w:val="0"/>
              <w:spacing w:before="93" w:beforeLines="30" w:after="93" w:afterLines="30" w:line="360" w:lineRule="auto"/>
              <w:ind w:firstLine="420" w:firstLineChars="200"/>
              <w:rPr>
                <w:rFonts w:hint="eastAsia" w:ascii="宋体" w:hAnsi="宋体" w:eastAsia="宋体"/>
                <w:szCs w:val="21"/>
              </w:rPr>
            </w:pPr>
            <w:r>
              <w:rPr>
                <w:rFonts w:hint="eastAsia" w:ascii="宋体" w:hAnsi="宋体" w:eastAsia="宋体"/>
                <w:szCs w:val="21"/>
              </w:rPr>
              <w:t>基金财产分配方案中应载明基金财产分配对象、分配时间、分配数额、分配方式等内容。</w:t>
            </w:r>
          </w:p>
          <w:p w14:paraId="165D5F55">
            <w:pPr>
              <w:numPr>
                <w:ilvl w:val="255"/>
                <w:numId w:val="0"/>
              </w:numPr>
              <w:adjustRightInd w:val="0"/>
              <w:snapToGrid w:val="0"/>
              <w:spacing w:before="93" w:beforeLines="30" w:after="93" w:afterLines="30" w:line="360" w:lineRule="auto"/>
              <w:ind w:firstLine="420" w:firstLineChars="200"/>
              <w:rPr>
                <w:rFonts w:hint="eastAsia" w:ascii="宋体" w:hAnsi="宋体" w:eastAsia="宋体"/>
                <w:szCs w:val="21"/>
              </w:rPr>
            </w:pPr>
            <w:r>
              <w:rPr>
                <w:rFonts w:hint="eastAsia" w:ascii="宋体" w:hAnsi="宋体" w:eastAsia="宋体"/>
                <w:szCs w:val="21"/>
              </w:rPr>
              <w:t>基金财产分配方案由私募基金管理人拟定，私募基金管理人应当于财产分配权益登记日前，将基金财产分配方案交由私募基金托管人复核，私募托管人仅对财产分配的总金额进行复核，对于在不同基金份额持有人之间分配的金额和顺序是否符合合同约定不承担复核义务。复核通过后，私募基金管理人应当按本合同约定及时通知基金份额持有人财产分配方案。</w:t>
            </w:r>
          </w:p>
          <w:p w14:paraId="171EF5FB">
            <w:pPr>
              <w:numPr>
                <w:ilvl w:val="255"/>
                <w:numId w:val="0"/>
              </w:numPr>
              <w:adjustRightInd w:val="0"/>
              <w:snapToGrid w:val="0"/>
              <w:spacing w:before="93" w:beforeLines="30" w:after="93" w:afterLines="30" w:line="360" w:lineRule="auto"/>
              <w:ind w:firstLine="420" w:firstLineChars="200"/>
              <w:rPr>
                <w:rFonts w:hint="eastAsia" w:ascii="宋体" w:hAnsi="宋体" w:eastAsia="宋体"/>
                <w:szCs w:val="21"/>
              </w:rPr>
            </w:pPr>
            <w:r>
              <w:rPr>
                <w:rFonts w:hint="eastAsia" w:ascii="宋体" w:hAnsi="宋体" w:eastAsia="宋体"/>
                <w:szCs w:val="21"/>
              </w:rPr>
              <w:t>私募基金管理人依据私募基金托管人复核通过的财产分配方案就支付的现金收益向私募基金托管人发送划款指令，私募基金托管人按照私募基金管理人的指令及时将现金收益划付至募集结算资金账户，私募基金管理人或代销机构（如有）负责将现金收益划付至基金份额持有人指定账户。</w:t>
            </w:r>
            <w:bookmarkStart w:id="4" w:name="_Toc396810200"/>
          </w:p>
          <w:bookmarkEnd w:id="4"/>
          <w:p w14:paraId="1DDCB07B">
            <w:pPr>
              <w:adjustRightInd w:val="0"/>
              <w:snapToGrid w:val="0"/>
              <w:spacing w:line="288" w:lineRule="auto"/>
              <w:ind w:firstLine="420"/>
              <w:rPr>
                <w:rFonts w:ascii="宋体" w:hAnsi="宋体" w:eastAsia="宋体"/>
                <w:szCs w:val="21"/>
              </w:rPr>
            </w:pPr>
          </w:p>
        </w:tc>
      </w:tr>
      <w:tr w14:paraId="7528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10523034">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3C0FF676">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基金费用承担方式</w:t>
            </w:r>
          </w:p>
        </w:tc>
        <w:tc>
          <w:tcPr>
            <w:tcW w:w="7013" w:type="dxa"/>
            <w:tcMar>
              <w:left w:w="28" w:type="dxa"/>
              <w:right w:w="28" w:type="dxa"/>
            </w:tcMar>
          </w:tcPr>
          <w:p w14:paraId="4B6ECFDA">
            <w:pPr>
              <w:adjustRightInd w:val="0"/>
              <w:snapToGrid w:val="0"/>
              <w:spacing w:line="288" w:lineRule="auto"/>
              <w:ind w:firstLine="420"/>
              <w:rPr>
                <w:rFonts w:ascii="宋体" w:hAnsi="宋体" w:eastAsia="宋体"/>
                <w:szCs w:val="21"/>
              </w:rPr>
            </w:pPr>
            <w:r>
              <w:rPr>
                <w:rFonts w:hint="eastAsia" w:ascii="宋体" w:hAnsi="宋体" w:eastAsia="宋体"/>
                <w:szCs w:val="21"/>
              </w:rPr>
              <w:t>由基金财产支付，由全体投资者共同承担</w:t>
            </w:r>
          </w:p>
        </w:tc>
      </w:tr>
      <w:tr w14:paraId="4636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38622956">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28D8974B">
            <w:pPr>
              <w:adjustRightInd w:val="0"/>
              <w:snapToGrid w:val="0"/>
              <w:spacing w:line="288" w:lineRule="auto"/>
              <w:ind w:firstLine="0"/>
              <w:jc w:val="center"/>
              <w:rPr>
                <w:rFonts w:ascii="宋体" w:hAnsi="宋体" w:eastAsia="宋体"/>
                <w:szCs w:val="21"/>
              </w:rPr>
            </w:pPr>
            <w:r>
              <w:rPr>
                <w:rFonts w:ascii="宋体" w:hAnsi="宋体" w:eastAsia="宋体"/>
                <w:szCs w:val="21"/>
              </w:rPr>
              <w:t>定期信息披露</w:t>
            </w:r>
          </w:p>
        </w:tc>
        <w:tc>
          <w:tcPr>
            <w:tcW w:w="7013" w:type="dxa"/>
            <w:tcMar>
              <w:left w:w="28" w:type="dxa"/>
              <w:right w:w="28" w:type="dxa"/>
            </w:tcMar>
          </w:tcPr>
          <w:p w14:paraId="1830E3ED">
            <w:pPr>
              <w:adjustRightInd w:val="0"/>
              <w:snapToGrid w:val="0"/>
              <w:spacing w:line="288" w:lineRule="auto"/>
              <w:ind w:firstLine="420"/>
              <w:rPr>
                <w:rFonts w:ascii="宋体" w:hAnsi="宋体" w:eastAsia="宋体"/>
                <w:szCs w:val="21"/>
              </w:rPr>
            </w:pPr>
            <w:r>
              <w:rPr>
                <w:rFonts w:ascii="宋体" w:hAnsi="宋体" w:eastAsia="宋体"/>
                <w:szCs w:val="21"/>
              </w:rPr>
              <w:t>1、月度报告</w:t>
            </w:r>
            <w:r>
              <w:rPr>
                <w:rFonts w:hint="eastAsia" w:ascii="宋体" w:hAnsi="宋体" w:eastAsia="宋体"/>
                <w:szCs w:val="21"/>
              </w:rPr>
              <w:t>披露</w:t>
            </w:r>
          </w:p>
          <w:p w14:paraId="26A4C01C">
            <w:pPr>
              <w:adjustRightInd w:val="0"/>
              <w:snapToGrid w:val="0"/>
              <w:spacing w:line="288" w:lineRule="auto"/>
              <w:ind w:firstLine="420"/>
              <w:rPr>
                <w:rFonts w:ascii="宋体" w:hAnsi="宋体" w:eastAsia="宋体"/>
                <w:szCs w:val="21"/>
              </w:rPr>
            </w:pPr>
            <w:r>
              <w:rPr>
                <w:rFonts w:hint="eastAsia" w:ascii="宋体" w:hAnsi="宋体" w:eastAsia="宋体"/>
                <w:szCs w:val="21"/>
              </w:rPr>
              <w:t>如本基金管理规模金额达到</w:t>
            </w:r>
            <w:r>
              <w:rPr>
                <w:rFonts w:ascii="宋体" w:hAnsi="宋体" w:eastAsia="宋体"/>
                <w:szCs w:val="21"/>
              </w:rPr>
              <w:t>5000万元以上的，</w:t>
            </w:r>
            <w:r>
              <w:rPr>
                <w:rFonts w:hint="eastAsia" w:ascii="宋体" w:hAnsi="宋体" w:eastAsia="宋体"/>
                <w:szCs w:val="21"/>
              </w:rPr>
              <w:t>基金管理人应当持续在每月结束后</w:t>
            </w:r>
            <w:r>
              <w:rPr>
                <w:rFonts w:ascii="宋体" w:hAnsi="宋体" w:eastAsia="宋体"/>
                <w:szCs w:val="21"/>
              </w:rPr>
              <w:t>5个工作日内向投资者披露</w:t>
            </w:r>
            <w:r>
              <w:rPr>
                <w:rFonts w:hint="eastAsia" w:ascii="宋体" w:hAnsi="宋体" w:eastAsia="宋体"/>
                <w:szCs w:val="21"/>
              </w:rPr>
              <w:t>经基金托管人复核的基金净值信息。</w:t>
            </w:r>
          </w:p>
          <w:p w14:paraId="196AB0D1">
            <w:pPr>
              <w:adjustRightInd w:val="0"/>
              <w:snapToGrid w:val="0"/>
              <w:spacing w:line="288" w:lineRule="auto"/>
              <w:ind w:firstLine="420"/>
              <w:rPr>
                <w:rFonts w:ascii="宋体" w:hAnsi="宋体" w:eastAsia="宋体"/>
                <w:szCs w:val="21"/>
              </w:rPr>
            </w:pPr>
            <w:r>
              <w:rPr>
                <w:rFonts w:ascii="宋体" w:hAnsi="宋体" w:eastAsia="宋体"/>
                <w:szCs w:val="21"/>
              </w:rPr>
              <w:t>2、季度报告披露</w:t>
            </w:r>
          </w:p>
          <w:p w14:paraId="2D0DEFB5">
            <w:pPr>
              <w:adjustRightInd w:val="0"/>
              <w:snapToGrid w:val="0"/>
              <w:spacing w:line="288" w:lineRule="auto"/>
              <w:ind w:firstLine="420"/>
              <w:rPr>
                <w:rFonts w:ascii="宋体" w:hAnsi="宋体" w:eastAsia="宋体"/>
                <w:szCs w:val="21"/>
              </w:rPr>
            </w:pPr>
            <w:r>
              <w:rPr>
                <w:rFonts w:hint="eastAsia" w:ascii="宋体" w:hAnsi="宋体" w:eastAsia="宋体"/>
                <w:szCs w:val="21"/>
              </w:rPr>
              <w:t>本基金存续期间，基金管理人应当在每季度结束之日起</w:t>
            </w:r>
            <w:r>
              <w:rPr>
                <w:rFonts w:ascii="宋体" w:hAnsi="宋体" w:eastAsia="宋体"/>
                <w:szCs w:val="21"/>
              </w:rPr>
              <w:t>10个工作日以内向投资者披露季度报告，季度报告应包括基金资产净值、基金份额净值、主要财务指标以及投资组合情况等信息。</w:t>
            </w:r>
          </w:p>
          <w:p w14:paraId="0AB1CBEC">
            <w:pPr>
              <w:adjustRightInd w:val="0"/>
              <w:snapToGrid w:val="0"/>
              <w:spacing w:line="288" w:lineRule="auto"/>
              <w:ind w:firstLine="420"/>
              <w:rPr>
                <w:rFonts w:ascii="宋体" w:hAnsi="宋体" w:eastAsia="宋体"/>
                <w:szCs w:val="21"/>
              </w:rPr>
            </w:pPr>
            <w:bookmarkStart w:id="5" w:name="OLE_LINK11"/>
            <w:r>
              <w:rPr>
                <w:rFonts w:hint="eastAsia" w:ascii="宋体" w:hAnsi="宋体" w:eastAsia="宋体"/>
                <w:szCs w:val="21"/>
              </w:rPr>
              <w:t>基金合同生效不足</w:t>
            </w:r>
            <w:r>
              <w:rPr>
                <w:rFonts w:ascii="宋体" w:hAnsi="宋体" w:eastAsia="宋体"/>
                <w:szCs w:val="21"/>
              </w:rPr>
              <w:t>2个月以及基金合同终止的当季度，基金管理人可以不编制当期季度报告。</w:t>
            </w:r>
          </w:p>
          <w:bookmarkEnd w:id="5"/>
          <w:p w14:paraId="61E8D60E">
            <w:pPr>
              <w:adjustRightInd w:val="0"/>
              <w:snapToGrid w:val="0"/>
              <w:spacing w:line="288" w:lineRule="auto"/>
              <w:ind w:firstLine="420"/>
              <w:rPr>
                <w:rFonts w:ascii="宋体" w:hAnsi="宋体" w:eastAsia="宋体"/>
                <w:szCs w:val="21"/>
              </w:rPr>
            </w:pPr>
            <w:r>
              <w:rPr>
                <w:rFonts w:ascii="宋体" w:hAnsi="宋体" w:eastAsia="宋体"/>
                <w:szCs w:val="21"/>
              </w:rPr>
              <w:t>3、年度报告披露</w:t>
            </w:r>
          </w:p>
          <w:p w14:paraId="3C68AF34">
            <w:pPr>
              <w:adjustRightInd w:val="0"/>
              <w:snapToGrid w:val="0"/>
              <w:spacing w:line="288" w:lineRule="auto"/>
              <w:ind w:firstLine="420"/>
              <w:rPr>
                <w:rFonts w:ascii="宋体" w:hAnsi="宋体" w:eastAsia="宋体"/>
                <w:szCs w:val="21"/>
              </w:rPr>
            </w:pPr>
            <w:r>
              <w:rPr>
                <w:rFonts w:hint="eastAsia" w:ascii="宋体" w:hAnsi="宋体" w:eastAsia="宋体"/>
                <w:szCs w:val="21"/>
              </w:rPr>
              <w:t>本基金运行期间，基金管理人应当在每年结束之日起</w:t>
            </w:r>
            <w:r>
              <w:rPr>
                <w:rFonts w:ascii="宋体" w:hAnsi="宋体" w:eastAsia="宋体"/>
                <w:szCs w:val="21"/>
              </w:rPr>
              <w:t>4个月以内，向基金投资者披露年度报告，年度报告应包括以下信息：</w:t>
            </w:r>
          </w:p>
          <w:p w14:paraId="171628BF">
            <w:pPr>
              <w:adjustRightInd w:val="0"/>
              <w:snapToGrid w:val="0"/>
              <w:spacing w:line="288" w:lineRule="auto"/>
              <w:ind w:firstLine="420"/>
              <w:rPr>
                <w:rFonts w:ascii="宋体" w:hAnsi="宋体" w:eastAsia="宋体"/>
                <w:szCs w:val="21"/>
              </w:rPr>
            </w:pPr>
            <w:r>
              <w:rPr>
                <w:rFonts w:hint="eastAsia" w:ascii="宋体" w:hAnsi="宋体" w:eastAsia="宋体"/>
                <w:szCs w:val="21"/>
              </w:rPr>
              <w:t>（</w:t>
            </w:r>
            <w:r>
              <w:rPr>
                <w:rFonts w:ascii="宋体" w:hAnsi="宋体" w:eastAsia="宋体"/>
                <w:szCs w:val="21"/>
              </w:rPr>
              <w:t>1）报告期末基金资产净值、基金份额净值和基金份额总额；</w:t>
            </w:r>
          </w:p>
          <w:p w14:paraId="4825EC78">
            <w:pPr>
              <w:adjustRightInd w:val="0"/>
              <w:snapToGrid w:val="0"/>
              <w:spacing w:line="288" w:lineRule="auto"/>
              <w:ind w:firstLine="420"/>
              <w:rPr>
                <w:rFonts w:ascii="宋体" w:hAnsi="宋体" w:eastAsia="宋体"/>
                <w:szCs w:val="21"/>
              </w:rPr>
            </w:pPr>
            <w:r>
              <w:rPr>
                <w:rFonts w:hint="eastAsia" w:ascii="宋体" w:hAnsi="宋体" w:eastAsia="宋体"/>
                <w:szCs w:val="21"/>
              </w:rPr>
              <w:t>（</w:t>
            </w:r>
            <w:r>
              <w:rPr>
                <w:rFonts w:ascii="宋体" w:hAnsi="宋体" w:eastAsia="宋体"/>
                <w:szCs w:val="21"/>
              </w:rPr>
              <w:t>2）本基金的财务情况；</w:t>
            </w:r>
          </w:p>
          <w:p w14:paraId="71EDA390">
            <w:pPr>
              <w:adjustRightInd w:val="0"/>
              <w:snapToGrid w:val="0"/>
              <w:spacing w:line="288" w:lineRule="auto"/>
              <w:ind w:firstLine="420"/>
              <w:rPr>
                <w:rFonts w:ascii="宋体" w:hAnsi="宋体" w:eastAsia="宋体"/>
                <w:szCs w:val="21"/>
              </w:rPr>
            </w:pPr>
            <w:r>
              <w:rPr>
                <w:rFonts w:hint="eastAsia" w:ascii="宋体" w:hAnsi="宋体" w:eastAsia="宋体"/>
                <w:szCs w:val="21"/>
              </w:rPr>
              <w:t>（</w:t>
            </w:r>
            <w:r>
              <w:rPr>
                <w:rFonts w:ascii="宋体" w:hAnsi="宋体" w:eastAsia="宋体"/>
                <w:szCs w:val="21"/>
              </w:rPr>
              <w:t>3）本基金投资运作情况和运用杠杆情况；</w:t>
            </w:r>
          </w:p>
          <w:p w14:paraId="44A8C1B3">
            <w:pPr>
              <w:adjustRightInd w:val="0"/>
              <w:snapToGrid w:val="0"/>
              <w:spacing w:line="288" w:lineRule="auto"/>
              <w:ind w:firstLine="420"/>
              <w:rPr>
                <w:rFonts w:ascii="宋体" w:hAnsi="宋体" w:eastAsia="宋体"/>
                <w:szCs w:val="21"/>
              </w:rPr>
            </w:pPr>
            <w:r>
              <w:rPr>
                <w:rFonts w:hint="eastAsia" w:ascii="宋体" w:hAnsi="宋体" w:eastAsia="宋体"/>
                <w:szCs w:val="21"/>
              </w:rPr>
              <w:t>（</w:t>
            </w:r>
            <w:r>
              <w:rPr>
                <w:rFonts w:ascii="宋体" w:hAnsi="宋体" w:eastAsia="宋体"/>
                <w:szCs w:val="21"/>
              </w:rPr>
              <w:t>4）基金投资者账户信息，包括实缴出资额、未缴出资额以及报告期末所持有基金份额总额等；</w:t>
            </w:r>
          </w:p>
          <w:p w14:paraId="191BC992">
            <w:pPr>
              <w:adjustRightInd w:val="0"/>
              <w:snapToGrid w:val="0"/>
              <w:spacing w:line="288" w:lineRule="auto"/>
              <w:ind w:firstLine="420"/>
              <w:rPr>
                <w:rFonts w:ascii="宋体" w:hAnsi="宋体" w:eastAsia="宋体"/>
                <w:szCs w:val="21"/>
              </w:rPr>
            </w:pPr>
            <w:r>
              <w:rPr>
                <w:rFonts w:hint="eastAsia" w:ascii="宋体" w:hAnsi="宋体" w:eastAsia="宋体"/>
                <w:szCs w:val="21"/>
              </w:rPr>
              <w:t>（</w:t>
            </w:r>
            <w:r>
              <w:rPr>
                <w:rFonts w:ascii="宋体" w:hAnsi="宋体" w:eastAsia="宋体"/>
                <w:szCs w:val="21"/>
              </w:rPr>
              <w:t>5）投资收益分配和损失承担情况；</w:t>
            </w:r>
          </w:p>
          <w:p w14:paraId="5A109BD6">
            <w:pPr>
              <w:adjustRightInd w:val="0"/>
              <w:snapToGrid w:val="0"/>
              <w:spacing w:line="288" w:lineRule="auto"/>
              <w:ind w:firstLine="420"/>
              <w:rPr>
                <w:rFonts w:ascii="宋体" w:hAnsi="宋体" w:eastAsia="宋体"/>
                <w:szCs w:val="21"/>
              </w:rPr>
            </w:pPr>
            <w:r>
              <w:rPr>
                <w:rFonts w:hint="eastAsia" w:ascii="宋体" w:hAnsi="宋体" w:eastAsia="宋体"/>
                <w:szCs w:val="21"/>
              </w:rPr>
              <w:t>（</w:t>
            </w:r>
            <w:r>
              <w:rPr>
                <w:rFonts w:ascii="宋体" w:hAnsi="宋体" w:eastAsia="宋体"/>
                <w:szCs w:val="21"/>
              </w:rPr>
              <w:t>6）基金管理人取得的管理费和业绩报酬，包括计提基准、计提方式和支付方式；</w:t>
            </w:r>
          </w:p>
          <w:p w14:paraId="4A374A9E">
            <w:pPr>
              <w:adjustRightInd w:val="0"/>
              <w:snapToGrid w:val="0"/>
              <w:spacing w:line="288" w:lineRule="auto"/>
              <w:ind w:firstLine="420"/>
              <w:rPr>
                <w:rFonts w:ascii="宋体" w:hAnsi="宋体" w:eastAsia="宋体"/>
                <w:szCs w:val="21"/>
              </w:rPr>
            </w:pPr>
            <w:r>
              <w:rPr>
                <w:rFonts w:hint="eastAsia" w:ascii="宋体" w:hAnsi="宋体" w:eastAsia="宋体"/>
                <w:szCs w:val="21"/>
              </w:rPr>
              <w:t>（</w:t>
            </w:r>
            <w:r>
              <w:rPr>
                <w:rFonts w:ascii="宋体" w:hAnsi="宋体" w:eastAsia="宋体"/>
                <w:szCs w:val="21"/>
              </w:rPr>
              <w:t>7）基金合同约定的其他信息。</w:t>
            </w:r>
          </w:p>
        </w:tc>
      </w:tr>
      <w:tr w14:paraId="70E8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2E791177">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759FD3E6">
            <w:pPr>
              <w:adjustRightInd w:val="0"/>
              <w:snapToGrid w:val="0"/>
              <w:spacing w:line="288" w:lineRule="auto"/>
              <w:ind w:firstLine="0"/>
              <w:jc w:val="center"/>
              <w:rPr>
                <w:rFonts w:ascii="宋体" w:hAnsi="宋体" w:eastAsia="宋体"/>
                <w:szCs w:val="21"/>
              </w:rPr>
            </w:pPr>
            <w:r>
              <w:rPr>
                <w:rFonts w:hint="eastAsia" w:ascii="宋体" w:hAnsi="宋体" w:eastAsia="宋体"/>
                <w:szCs w:val="21"/>
              </w:rPr>
              <w:t>重大事项信息披露</w:t>
            </w:r>
          </w:p>
        </w:tc>
        <w:tc>
          <w:tcPr>
            <w:tcW w:w="7013" w:type="dxa"/>
            <w:tcMar>
              <w:left w:w="28" w:type="dxa"/>
              <w:right w:w="28" w:type="dxa"/>
            </w:tcMar>
          </w:tcPr>
          <w:p w14:paraId="0F911E50">
            <w:pPr>
              <w:adjustRightInd w:val="0"/>
              <w:snapToGrid w:val="0"/>
              <w:spacing w:line="288" w:lineRule="auto"/>
              <w:ind w:firstLine="420"/>
              <w:rPr>
                <w:rFonts w:ascii="宋体" w:hAnsi="宋体" w:eastAsia="宋体"/>
                <w:szCs w:val="21"/>
              </w:rPr>
            </w:pPr>
            <w:r>
              <w:rPr>
                <w:rFonts w:hint="eastAsia" w:ascii="宋体" w:hAnsi="宋体" w:eastAsia="宋体"/>
                <w:szCs w:val="21"/>
              </w:rPr>
              <w:t>发生以下重大事项的，基金管理人应在</w:t>
            </w:r>
            <w:r>
              <w:rPr>
                <w:rFonts w:ascii="宋体" w:hAnsi="宋体" w:eastAsia="宋体"/>
                <w:szCs w:val="21"/>
              </w:rPr>
              <w:t>5个工作日内（基金合同另有约定的除外）及时向基金投资者披露：</w:t>
            </w:r>
          </w:p>
          <w:p w14:paraId="4D448B00">
            <w:pPr>
              <w:adjustRightInd w:val="0"/>
              <w:snapToGrid w:val="0"/>
              <w:spacing w:line="288" w:lineRule="auto"/>
              <w:ind w:firstLine="420"/>
              <w:rPr>
                <w:rFonts w:ascii="宋体" w:hAnsi="宋体" w:eastAsia="宋体"/>
                <w:szCs w:val="21"/>
              </w:rPr>
            </w:pPr>
            <w:r>
              <w:rPr>
                <w:rFonts w:ascii="宋体" w:hAnsi="宋体" w:eastAsia="宋体"/>
                <w:szCs w:val="21"/>
              </w:rPr>
              <w:t>1、本基金名称、注册地址、组织形式发生变更的；</w:t>
            </w:r>
          </w:p>
          <w:p w14:paraId="599551B8">
            <w:pPr>
              <w:adjustRightInd w:val="0"/>
              <w:snapToGrid w:val="0"/>
              <w:spacing w:line="288" w:lineRule="auto"/>
              <w:ind w:firstLine="420"/>
              <w:rPr>
                <w:rFonts w:ascii="宋体" w:hAnsi="宋体" w:eastAsia="宋体"/>
                <w:szCs w:val="21"/>
              </w:rPr>
            </w:pPr>
            <w:r>
              <w:rPr>
                <w:rFonts w:ascii="宋体" w:hAnsi="宋体" w:eastAsia="宋体"/>
                <w:szCs w:val="21"/>
              </w:rPr>
              <w:t>2、投资范围和投资策略发生重大变化的；</w:t>
            </w:r>
          </w:p>
          <w:p w14:paraId="506CEE10">
            <w:pPr>
              <w:adjustRightInd w:val="0"/>
              <w:snapToGrid w:val="0"/>
              <w:spacing w:line="288" w:lineRule="auto"/>
              <w:ind w:firstLine="420"/>
              <w:rPr>
                <w:rFonts w:ascii="宋体" w:hAnsi="宋体" w:eastAsia="宋体"/>
                <w:szCs w:val="21"/>
              </w:rPr>
            </w:pPr>
            <w:r>
              <w:rPr>
                <w:rFonts w:ascii="宋体" w:hAnsi="宋体" w:eastAsia="宋体"/>
                <w:szCs w:val="21"/>
              </w:rPr>
              <w:t>3、变更基金管理人或基金托管人的；</w:t>
            </w:r>
          </w:p>
          <w:p w14:paraId="7DF5BD11">
            <w:pPr>
              <w:adjustRightInd w:val="0"/>
              <w:snapToGrid w:val="0"/>
              <w:spacing w:line="288" w:lineRule="auto"/>
              <w:ind w:firstLine="420"/>
              <w:rPr>
                <w:rFonts w:ascii="宋体" w:hAnsi="宋体" w:eastAsia="宋体"/>
                <w:szCs w:val="21"/>
              </w:rPr>
            </w:pPr>
            <w:r>
              <w:rPr>
                <w:rFonts w:ascii="宋体" w:hAnsi="宋体" w:eastAsia="宋体"/>
                <w:szCs w:val="21"/>
              </w:rPr>
              <w:t>4、基金管理人的法定代表人、执行事务合伙人（委派代表）、实际控制人发生变更的；</w:t>
            </w:r>
          </w:p>
          <w:p w14:paraId="57632C89">
            <w:pPr>
              <w:adjustRightInd w:val="0"/>
              <w:snapToGrid w:val="0"/>
              <w:spacing w:line="288" w:lineRule="auto"/>
              <w:ind w:firstLine="420"/>
              <w:rPr>
                <w:rFonts w:ascii="宋体" w:hAnsi="宋体" w:eastAsia="宋体"/>
                <w:szCs w:val="21"/>
              </w:rPr>
            </w:pPr>
            <w:r>
              <w:rPr>
                <w:rFonts w:ascii="宋体" w:hAnsi="宋体" w:eastAsia="宋体"/>
                <w:szCs w:val="21"/>
              </w:rPr>
              <w:t>5、触及本基金止损线或预警线的（如有）；</w:t>
            </w:r>
          </w:p>
          <w:p w14:paraId="12B06B40">
            <w:pPr>
              <w:adjustRightInd w:val="0"/>
              <w:snapToGrid w:val="0"/>
              <w:spacing w:line="288" w:lineRule="auto"/>
              <w:ind w:firstLine="420"/>
              <w:rPr>
                <w:rFonts w:ascii="宋体" w:hAnsi="宋体" w:eastAsia="宋体"/>
                <w:szCs w:val="21"/>
              </w:rPr>
            </w:pPr>
            <w:r>
              <w:rPr>
                <w:rFonts w:ascii="宋体" w:hAnsi="宋体" w:eastAsia="宋体"/>
                <w:szCs w:val="21"/>
              </w:rPr>
              <w:t>6、管理费率、托管费率发生变化的；</w:t>
            </w:r>
          </w:p>
          <w:p w14:paraId="150F23CF">
            <w:pPr>
              <w:adjustRightInd w:val="0"/>
              <w:snapToGrid w:val="0"/>
              <w:spacing w:line="288" w:lineRule="auto"/>
              <w:ind w:firstLine="420"/>
              <w:rPr>
                <w:rFonts w:ascii="宋体" w:hAnsi="宋体" w:eastAsia="宋体"/>
                <w:szCs w:val="21"/>
              </w:rPr>
            </w:pPr>
            <w:r>
              <w:rPr>
                <w:rFonts w:ascii="宋体" w:hAnsi="宋体" w:eastAsia="宋体"/>
                <w:szCs w:val="21"/>
              </w:rPr>
              <w:t>7、本基金收益分配事项发生变更的；</w:t>
            </w:r>
          </w:p>
          <w:p w14:paraId="00DD8077">
            <w:pPr>
              <w:adjustRightInd w:val="0"/>
              <w:snapToGrid w:val="0"/>
              <w:spacing w:line="288" w:lineRule="auto"/>
              <w:ind w:firstLine="420"/>
              <w:rPr>
                <w:rFonts w:ascii="宋体" w:hAnsi="宋体" w:eastAsia="宋体"/>
                <w:szCs w:val="21"/>
              </w:rPr>
            </w:pPr>
            <w:r>
              <w:rPr>
                <w:rFonts w:ascii="宋体" w:hAnsi="宋体" w:eastAsia="宋体"/>
                <w:szCs w:val="21"/>
              </w:rPr>
              <w:t>8、本基金触发巨额赎回的；</w:t>
            </w:r>
          </w:p>
          <w:p w14:paraId="4C95F48D">
            <w:pPr>
              <w:adjustRightInd w:val="0"/>
              <w:snapToGrid w:val="0"/>
              <w:spacing w:line="288" w:lineRule="auto"/>
              <w:ind w:firstLine="420"/>
              <w:rPr>
                <w:rFonts w:ascii="宋体" w:hAnsi="宋体" w:eastAsia="宋体"/>
                <w:szCs w:val="21"/>
              </w:rPr>
            </w:pPr>
            <w:r>
              <w:rPr>
                <w:rFonts w:ascii="宋体" w:hAnsi="宋体" w:eastAsia="宋体"/>
                <w:szCs w:val="21"/>
              </w:rPr>
              <w:t>9、本基金存续期变更或展期的；</w:t>
            </w:r>
          </w:p>
          <w:p w14:paraId="2FD39C38">
            <w:pPr>
              <w:adjustRightInd w:val="0"/>
              <w:snapToGrid w:val="0"/>
              <w:spacing w:line="288" w:lineRule="auto"/>
              <w:ind w:firstLine="420"/>
              <w:rPr>
                <w:rFonts w:ascii="宋体" w:hAnsi="宋体" w:eastAsia="宋体"/>
                <w:szCs w:val="21"/>
              </w:rPr>
            </w:pPr>
            <w:r>
              <w:rPr>
                <w:rFonts w:ascii="宋体" w:hAnsi="宋体" w:eastAsia="宋体"/>
                <w:szCs w:val="21"/>
              </w:rPr>
              <w:t>10、本基金发生清盘或清算的；</w:t>
            </w:r>
          </w:p>
          <w:p w14:paraId="641CCADC">
            <w:pPr>
              <w:adjustRightInd w:val="0"/>
              <w:snapToGrid w:val="0"/>
              <w:spacing w:line="288" w:lineRule="auto"/>
              <w:ind w:firstLine="420"/>
              <w:rPr>
                <w:rFonts w:ascii="宋体" w:hAnsi="宋体" w:eastAsia="宋体"/>
                <w:szCs w:val="21"/>
              </w:rPr>
            </w:pPr>
            <w:r>
              <w:rPr>
                <w:rFonts w:ascii="宋体" w:hAnsi="宋体" w:eastAsia="宋体"/>
                <w:szCs w:val="21"/>
              </w:rPr>
              <w:t>11、发生重大关联交易事项的；</w:t>
            </w:r>
          </w:p>
          <w:p w14:paraId="3F9F54CE">
            <w:pPr>
              <w:adjustRightInd w:val="0"/>
              <w:snapToGrid w:val="0"/>
              <w:spacing w:line="288" w:lineRule="auto"/>
              <w:ind w:firstLine="420"/>
              <w:rPr>
                <w:rFonts w:ascii="宋体" w:hAnsi="宋体" w:eastAsia="宋体"/>
                <w:szCs w:val="21"/>
              </w:rPr>
            </w:pPr>
            <w:r>
              <w:rPr>
                <w:rFonts w:ascii="宋体" w:hAnsi="宋体" w:eastAsia="宋体"/>
                <w:szCs w:val="21"/>
              </w:rPr>
              <w:t>12、基金管理人、实际控制人、高管人员涉嫌重大违法违规行为或正在接受监管部门或自律管理部门调查的；</w:t>
            </w:r>
          </w:p>
          <w:p w14:paraId="5E85387A">
            <w:pPr>
              <w:adjustRightInd w:val="0"/>
              <w:snapToGrid w:val="0"/>
              <w:spacing w:line="288" w:lineRule="auto"/>
              <w:ind w:firstLine="420"/>
              <w:rPr>
                <w:rFonts w:ascii="宋体" w:hAnsi="宋体" w:eastAsia="宋体"/>
                <w:szCs w:val="21"/>
              </w:rPr>
            </w:pPr>
            <w:r>
              <w:rPr>
                <w:rFonts w:ascii="宋体" w:hAnsi="宋体" w:eastAsia="宋体"/>
                <w:szCs w:val="21"/>
              </w:rPr>
              <w:t>13、涉及私募基金管理业务、基金财产、基金托管业务的重大诉讼、仲裁；</w:t>
            </w:r>
          </w:p>
          <w:p w14:paraId="37D491C3">
            <w:pPr>
              <w:adjustRightInd w:val="0"/>
              <w:snapToGrid w:val="0"/>
              <w:spacing w:line="288" w:lineRule="auto"/>
              <w:ind w:firstLine="420"/>
              <w:rPr>
                <w:rFonts w:ascii="宋体" w:hAnsi="宋体" w:eastAsia="宋体"/>
                <w:szCs w:val="21"/>
              </w:rPr>
            </w:pPr>
            <w:r>
              <w:rPr>
                <w:rFonts w:ascii="宋体" w:hAnsi="宋体" w:eastAsia="宋体"/>
                <w:szCs w:val="21"/>
              </w:rPr>
              <w:t>14、基金合同约定的影响投资者利益的其他重大事项。</w:t>
            </w:r>
          </w:p>
        </w:tc>
      </w:tr>
      <w:tr w14:paraId="13C8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Merge w:val="continue"/>
            <w:tcMar>
              <w:left w:w="28" w:type="dxa"/>
              <w:right w:w="28" w:type="dxa"/>
            </w:tcMar>
            <w:vAlign w:val="center"/>
          </w:tcPr>
          <w:p w14:paraId="2C1407A0">
            <w:pPr>
              <w:adjustRightInd w:val="0"/>
              <w:snapToGrid w:val="0"/>
              <w:spacing w:line="288" w:lineRule="auto"/>
              <w:ind w:firstLine="420"/>
              <w:jc w:val="center"/>
              <w:rPr>
                <w:rFonts w:ascii="宋体" w:hAnsi="宋体" w:eastAsia="宋体"/>
                <w:szCs w:val="21"/>
              </w:rPr>
            </w:pPr>
          </w:p>
        </w:tc>
        <w:tc>
          <w:tcPr>
            <w:tcW w:w="2013" w:type="dxa"/>
            <w:tcMar>
              <w:left w:w="28" w:type="dxa"/>
              <w:right w:w="28" w:type="dxa"/>
            </w:tcMar>
            <w:vAlign w:val="center"/>
          </w:tcPr>
          <w:p w14:paraId="17755646">
            <w:pPr>
              <w:adjustRightInd w:val="0"/>
              <w:snapToGrid w:val="0"/>
              <w:spacing w:line="288" w:lineRule="auto"/>
              <w:ind w:firstLine="0"/>
              <w:jc w:val="center"/>
              <w:rPr>
                <w:rFonts w:ascii="宋体" w:hAnsi="宋体" w:eastAsia="宋体"/>
                <w:szCs w:val="21"/>
              </w:rPr>
            </w:pPr>
            <w:r>
              <w:rPr>
                <w:rFonts w:ascii="宋体" w:hAnsi="宋体" w:eastAsia="宋体"/>
                <w:szCs w:val="21"/>
              </w:rPr>
              <w:t>信息披露方式</w:t>
            </w:r>
          </w:p>
        </w:tc>
        <w:tc>
          <w:tcPr>
            <w:tcW w:w="7013" w:type="dxa"/>
            <w:tcMar>
              <w:left w:w="28" w:type="dxa"/>
              <w:right w:w="28" w:type="dxa"/>
            </w:tcMar>
          </w:tcPr>
          <w:p w14:paraId="0B7B8A68">
            <w:pPr>
              <w:adjustRightInd w:val="0"/>
              <w:snapToGrid w:val="0"/>
              <w:spacing w:line="288" w:lineRule="auto"/>
              <w:ind w:firstLine="420"/>
              <w:rPr>
                <w:rFonts w:ascii="宋体" w:hAnsi="宋体" w:eastAsia="宋体"/>
                <w:szCs w:val="21"/>
              </w:rPr>
            </w:pPr>
            <w:r>
              <w:rPr>
                <w:rFonts w:hint="eastAsia" w:ascii="宋体" w:hAnsi="宋体" w:eastAsia="宋体"/>
                <w:szCs w:val="21"/>
              </w:rPr>
              <w:t>基金管理人有权采用下列一种或多种方式向基金份额持有人提供报告或进行相关通知。</w:t>
            </w:r>
          </w:p>
          <w:p w14:paraId="1D797C7E">
            <w:pPr>
              <w:adjustRightInd w:val="0"/>
              <w:snapToGrid w:val="0"/>
              <w:spacing w:line="288" w:lineRule="auto"/>
              <w:ind w:firstLine="420"/>
              <w:rPr>
                <w:rFonts w:ascii="宋体" w:hAnsi="宋体" w:eastAsia="宋体"/>
                <w:szCs w:val="21"/>
              </w:rPr>
            </w:pPr>
            <w:r>
              <w:rPr>
                <w:rFonts w:ascii="宋体" w:hAnsi="宋体" w:eastAsia="宋体"/>
                <w:szCs w:val="21"/>
              </w:rPr>
              <w:t>1、传真、电子邮件或短信</w:t>
            </w:r>
          </w:p>
          <w:p w14:paraId="58A9B6E7">
            <w:pPr>
              <w:adjustRightInd w:val="0"/>
              <w:snapToGrid w:val="0"/>
              <w:spacing w:line="288" w:lineRule="auto"/>
              <w:ind w:firstLine="420"/>
              <w:rPr>
                <w:rFonts w:ascii="宋体" w:hAnsi="宋体" w:eastAsia="宋体"/>
                <w:szCs w:val="21"/>
              </w:rPr>
            </w:pPr>
            <w:r>
              <w:rPr>
                <w:rFonts w:hint="eastAsia" w:ascii="宋体" w:hAnsi="宋体" w:eastAsia="宋体"/>
                <w:szCs w:val="21"/>
              </w:rPr>
              <w:t>如基金份额持有人留有传真号、电子邮箱或手机号等联系方式，基金管理人可通过传真、电子邮件或短信等方式将报告信息告知基金份额持有人。</w:t>
            </w:r>
          </w:p>
          <w:p w14:paraId="01DAA08D">
            <w:pPr>
              <w:adjustRightInd w:val="0"/>
              <w:snapToGrid w:val="0"/>
              <w:spacing w:line="288" w:lineRule="auto"/>
              <w:ind w:firstLine="420"/>
              <w:rPr>
                <w:rFonts w:ascii="宋体" w:hAnsi="宋体" w:eastAsia="宋体"/>
                <w:szCs w:val="21"/>
              </w:rPr>
            </w:pPr>
            <w:r>
              <w:rPr>
                <w:rFonts w:ascii="宋体" w:hAnsi="宋体" w:eastAsia="宋体"/>
                <w:szCs w:val="21"/>
              </w:rPr>
              <w:t>2、邮寄服务</w:t>
            </w:r>
          </w:p>
          <w:p w14:paraId="3B4DF287">
            <w:pPr>
              <w:adjustRightInd w:val="0"/>
              <w:snapToGrid w:val="0"/>
              <w:spacing w:line="288" w:lineRule="auto"/>
              <w:ind w:firstLine="420"/>
              <w:rPr>
                <w:rFonts w:ascii="宋体" w:hAnsi="宋体" w:eastAsia="宋体"/>
                <w:szCs w:val="21"/>
              </w:rPr>
            </w:pPr>
            <w:r>
              <w:rPr>
                <w:rFonts w:hint="eastAsia" w:ascii="宋体" w:hAnsi="宋体" w:eastAsia="宋体"/>
                <w:szCs w:val="21"/>
              </w:rPr>
              <w:t>基金管理人可向基金份额持有人邮寄年度报告等有关本基金的信息。基金份额持有人在销售机构留存的通信地址为送达地址。通信地址如有变更，基金份额持有人应当及时以书面方式或以基金管理人规定的其他方式通知基金管理人。</w:t>
            </w:r>
          </w:p>
          <w:p w14:paraId="385DEC74">
            <w:pPr>
              <w:adjustRightInd w:val="0"/>
              <w:snapToGrid w:val="0"/>
              <w:spacing w:line="288" w:lineRule="auto"/>
              <w:ind w:firstLine="420"/>
              <w:rPr>
                <w:rFonts w:ascii="宋体" w:hAnsi="宋体" w:eastAsia="宋体"/>
                <w:szCs w:val="21"/>
              </w:rPr>
            </w:pPr>
            <w:r>
              <w:rPr>
                <w:rFonts w:ascii="宋体" w:hAnsi="宋体" w:eastAsia="宋体"/>
                <w:szCs w:val="21"/>
              </w:rPr>
              <w:t>3、基金管理人网站或基金管理人指定的第三方机构</w:t>
            </w:r>
          </w:p>
          <w:p w14:paraId="0644EC98">
            <w:pPr>
              <w:adjustRightInd w:val="0"/>
              <w:snapToGrid w:val="0"/>
              <w:spacing w:line="288" w:lineRule="auto"/>
              <w:ind w:firstLine="420"/>
              <w:rPr>
                <w:rFonts w:ascii="宋体" w:hAnsi="宋体" w:eastAsia="宋体"/>
                <w:szCs w:val="21"/>
              </w:rPr>
            </w:pPr>
            <w:r>
              <w:rPr>
                <w:rFonts w:hint="eastAsia" w:ascii="宋体" w:hAnsi="宋体" w:eastAsia="宋体"/>
                <w:szCs w:val="21"/>
              </w:rPr>
              <w:t>基金管理人可通过基金管理人网站向基金份额持有人提供报告和信息查询，内容包括净值报告、季度报告、年度报告、基金管理人披露的重大事项等。</w:t>
            </w:r>
          </w:p>
          <w:p w14:paraId="1D353D84">
            <w:pPr>
              <w:adjustRightInd w:val="0"/>
              <w:snapToGrid w:val="0"/>
              <w:spacing w:line="288" w:lineRule="auto"/>
              <w:ind w:firstLine="420"/>
              <w:rPr>
                <w:rFonts w:ascii="宋体" w:hAnsi="宋体" w:eastAsia="宋体"/>
                <w:i/>
                <w:iCs/>
                <w:szCs w:val="21"/>
              </w:rPr>
            </w:pPr>
            <w:bookmarkStart w:id="6" w:name="OLE_LINK12"/>
            <w:r>
              <w:rPr>
                <w:rFonts w:ascii="宋体" w:hAnsi="宋体" w:eastAsia="宋体"/>
                <w:szCs w:val="21"/>
              </w:rPr>
              <w:t>信息披露义务人委托第三方机构代为披露信息的，不能免除信息披露义务人应承担的信息披露义务。</w:t>
            </w:r>
            <w:bookmarkEnd w:id="6"/>
          </w:p>
          <w:p w14:paraId="1E85B092">
            <w:pPr>
              <w:numPr>
                <w:ilvl w:val="0"/>
                <w:numId w:val="1"/>
              </w:numPr>
              <w:adjustRightInd w:val="0"/>
              <w:snapToGrid w:val="0"/>
              <w:spacing w:line="288" w:lineRule="auto"/>
              <w:ind w:firstLine="420"/>
              <w:rPr>
                <w:rFonts w:ascii="宋体" w:hAnsi="宋体" w:eastAsia="宋体"/>
                <w:szCs w:val="21"/>
              </w:rPr>
            </w:pPr>
            <w:r>
              <w:rPr>
                <w:rFonts w:hint="eastAsia" w:ascii="宋体" w:hAnsi="宋体" w:eastAsia="宋体"/>
                <w:szCs w:val="21"/>
              </w:rPr>
              <w:t>管理人通过中国基金业协会指定的私募基金信息披露备份平台发布产品月报、季报和年报，投资者可登录进行查询。</w:t>
            </w:r>
          </w:p>
          <w:p w14:paraId="09D38CB0">
            <w:pPr>
              <w:adjustRightInd w:val="0"/>
              <w:snapToGrid w:val="0"/>
              <w:spacing w:line="288" w:lineRule="auto"/>
              <w:ind w:firstLine="420"/>
              <w:rPr>
                <w:rFonts w:ascii="宋体" w:hAnsi="宋体" w:eastAsia="宋体"/>
                <w:szCs w:val="21"/>
              </w:rPr>
            </w:pPr>
            <w:r>
              <w:rPr>
                <w:rFonts w:ascii="宋体" w:hAnsi="宋体" w:eastAsia="宋体"/>
                <w:szCs w:val="21"/>
              </w:rPr>
              <w:t>5、其他中国证监会以及基金业协会规定的信息披露途径或方式。</w:t>
            </w:r>
          </w:p>
        </w:tc>
      </w:tr>
      <w:tr w14:paraId="49DB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4" w:type="dxa"/>
            <w:gridSpan w:val="2"/>
            <w:tcMar>
              <w:left w:w="28" w:type="dxa"/>
              <w:right w:w="28" w:type="dxa"/>
            </w:tcMar>
            <w:vAlign w:val="center"/>
          </w:tcPr>
          <w:p w14:paraId="34C11003">
            <w:pPr>
              <w:adjustRightInd w:val="0"/>
              <w:snapToGrid w:val="0"/>
              <w:spacing w:line="288" w:lineRule="auto"/>
              <w:ind w:firstLine="0"/>
              <w:jc w:val="center"/>
              <w:rPr>
                <w:rFonts w:ascii="宋体" w:hAnsi="宋体" w:eastAsia="宋体"/>
                <w:b/>
                <w:szCs w:val="21"/>
              </w:rPr>
            </w:pPr>
            <w:r>
              <w:rPr>
                <w:rFonts w:hint="eastAsia" w:ascii="宋体" w:hAnsi="宋体" w:eastAsia="宋体"/>
                <w:b/>
                <w:szCs w:val="21"/>
              </w:rPr>
              <w:t>基金管理人最近三年的诚信情况说明</w:t>
            </w:r>
          </w:p>
        </w:tc>
        <w:tc>
          <w:tcPr>
            <w:tcW w:w="7013" w:type="dxa"/>
            <w:tcMar>
              <w:left w:w="28" w:type="dxa"/>
              <w:right w:w="28" w:type="dxa"/>
            </w:tcMar>
          </w:tcPr>
          <w:p w14:paraId="73FC38C4">
            <w:pPr>
              <w:adjustRightInd w:val="0"/>
              <w:snapToGrid w:val="0"/>
              <w:spacing w:line="288" w:lineRule="auto"/>
              <w:ind w:firstLine="420"/>
              <w:rPr>
                <w:rFonts w:ascii="宋体" w:hAnsi="宋体" w:eastAsia="宋体"/>
                <w:szCs w:val="21"/>
              </w:rPr>
            </w:pPr>
            <w:r>
              <w:rPr>
                <w:rFonts w:hint="eastAsia" w:ascii="宋体" w:hAnsi="宋体" w:eastAsia="宋体"/>
                <w:szCs w:val="21"/>
              </w:rPr>
              <w:t>1、本公司最近三年内诚信经营，不存在重大违法违规事项，亦未受过行政处罚或者刑事处罚。</w:t>
            </w:r>
          </w:p>
          <w:p w14:paraId="08182262">
            <w:pPr>
              <w:adjustRightInd w:val="0"/>
              <w:snapToGrid w:val="0"/>
              <w:spacing w:line="288" w:lineRule="auto"/>
              <w:ind w:firstLine="420"/>
              <w:rPr>
                <w:rFonts w:ascii="宋体" w:hAnsi="宋体" w:eastAsia="宋体"/>
                <w:szCs w:val="21"/>
              </w:rPr>
            </w:pPr>
            <w:r>
              <w:rPr>
                <w:rFonts w:hint="eastAsia" w:ascii="宋体" w:hAnsi="宋体" w:eastAsia="宋体"/>
                <w:szCs w:val="21"/>
              </w:rPr>
              <w:t>2、本公司不存在因涉嫌犯罪正被司法机关立案侦查或涉嫌</w:t>
            </w:r>
            <w:bookmarkStart w:id="7" w:name="_GoBack"/>
            <w:bookmarkEnd w:id="7"/>
            <w:r>
              <w:rPr>
                <w:rFonts w:hint="eastAsia" w:ascii="宋体" w:hAnsi="宋体" w:eastAsia="宋体"/>
                <w:szCs w:val="21"/>
              </w:rPr>
              <w:t>违法违规正被中国证监会等行政主管部门立案调查之情形。</w:t>
            </w:r>
          </w:p>
          <w:p w14:paraId="116B66FD">
            <w:pPr>
              <w:adjustRightInd w:val="0"/>
              <w:snapToGrid w:val="0"/>
              <w:spacing w:line="288" w:lineRule="auto"/>
              <w:ind w:firstLine="420"/>
              <w:rPr>
                <w:rFonts w:ascii="宋体" w:hAnsi="宋体" w:eastAsia="宋体"/>
                <w:szCs w:val="21"/>
              </w:rPr>
            </w:pPr>
          </w:p>
        </w:tc>
      </w:tr>
    </w:tbl>
    <w:p w14:paraId="0152537B">
      <w:pPr>
        <w:adjustRightInd w:val="0"/>
        <w:snapToGrid w:val="0"/>
        <w:rPr>
          <w:rFonts w:ascii="宋体" w:hAnsi="宋体" w:eastAsia="宋体"/>
          <w:szCs w:val="23"/>
        </w:rPr>
      </w:pPr>
    </w:p>
    <w:p w14:paraId="4E5958D2">
      <w:pPr>
        <w:adjustRightInd w:val="0"/>
        <w:snapToGrid w:val="0"/>
        <w:spacing w:line="312" w:lineRule="auto"/>
        <w:ind w:firstLine="480" w:firstLineChars="200"/>
        <w:jc w:val="right"/>
        <w:rPr>
          <w:rFonts w:ascii="宋体" w:hAnsi="宋体" w:eastAsia="宋体"/>
          <w:sz w:val="24"/>
          <w:szCs w:val="24"/>
        </w:rPr>
      </w:pPr>
      <w:r>
        <w:rPr>
          <w:rFonts w:hint="eastAsia" w:ascii="宋体" w:hAnsi="宋体" w:eastAsia="宋体"/>
          <w:sz w:val="24"/>
          <w:szCs w:val="24"/>
          <w:lang w:eastAsia="zh-CN"/>
        </w:rPr>
        <w:t>晋江泉智私募基金管理有限</w:t>
      </w:r>
      <w:r>
        <w:rPr>
          <w:rFonts w:hint="eastAsia" w:ascii="宋体" w:hAnsi="宋体" w:eastAsia="宋体"/>
          <w:sz w:val="24"/>
          <w:szCs w:val="24"/>
        </w:rPr>
        <w:t>公司</w:t>
      </w:r>
    </w:p>
    <w:p w14:paraId="54B1408A">
      <w:pPr>
        <w:adjustRightInd w:val="0"/>
        <w:snapToGrid w:val="0"/>
        <w:spacing w:line="312" w:lineRule="auto"/>
        <w:ind w:firstLine="480" w:firstLineChars="200"/>
        <w:jc w:val="right"/>
        <w:rPr>
          <w:rFonts w:ascii="宋体" w:hAnsi="宋体" w:eastAsia="宋体"/>
          <w:sz w:val="24"/>
          <w:szCs w:val="24"/>
        </w:rPr>
      </w:pPr>
      <w:r>
        <w:rPr>
          <w:rFonts w:hint="eastAsia" w:ascii="宋体" w:hAnsi="宋体" w:eastAsia="宋体"/>
          <w:sz w:val="24"/>
          <w:szCs w:val="24"/>
          <w:lang w:val="en-US" w:eastAsia="zh-CN"/>
        </w:rPr>
        <w:t>2024</w:t>
      </w:r>
      <w:r>
        <w:rPr>
          <w:rFonts w:hint="eastAsia" w:ascii="宋体" w:hAnsi="宋体" w:eastAsia="宋体"/>
          <w:sz w:val="24"/>
          <w:szCs w:val="24"/>
        </w:rPr>
        <w:t>年</w:t>
      </w:r>
      <w:r>
        <w:rPr>
          <w:rFonts w:hint="eastAsia" w:ascii="宋体" w:hAnsi="宋体" w:eastAsia="宋体"/>
          <w:sz w:val="24"/>
          <w:szCs w:val="24"/>
          <w:lang w:val="en-US" w:eastAsia="zh-CN"/>
        </w:rPr>
        <w:t>12</w:t>
      </w:r>
      <w:r>
        <w:rPr>
          <w:rFonts w:hint="eastAsia" w:ascii="宋体" w:hAnsi="宋体" w:eastAsia="宋体"/>
          <w:sz w:val="24"/>
          <w:szCs w:val="24"/>
        </w:rPr>
        <w:t>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5448547"/>
      <w:docPartObj>
        <w:docPartGallery w:val="autotext"/>
      </w:docPartObj>
    </w:sdtPr>
    <w:sdtContent>
      <w:p w14:paraId="0E142531">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14:paraId="35E37C8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0CC9">
    <w:pPr>
      <w:pStyle w:val="7"/>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7FD59"/>
    <w:multiLevelType w:val="singleLevel"/>
    <w:tmpl w:val="5767FD5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kNTNmNTU5ZjUyZTM0NTczYzYxMTkyNDFlZjZjYTgifQ=="/>
  </w:docVars>
  <w:rsids>
    <w:rsidRoot w:val="00FC7CFD"/>
    <w:rsid w:val="00003A1D"/>
    <w:rsid w:val="000148F2"/>
    <w:rsid w:val="000263A8"/>
    <w:rsid w:val="00036797"/>
    <w:rsid w:val="000445E8"/>
    <w:rsid w:val="000663F3"/>
    <w:rsid w:val="00074896"/>
    <w:rsid w:val="00095C1E"/>
    <w:rsid w:val="000E0AFD"/>
    <w:rsid w:val="000F58E0"/>
    <w:rsid w:val="00123A4A"/>
    <w:rsid w:val="0012694E"/>
    <w:rsid w:val="00155288"/>
    <w:rsid w:val="001652DE"/>
    <w:rsid w:val="0017007B"/>
    <w:rsid w:val="00170233"/>
    <w:rsid w:val="00174CC8"/>
    <w:rsid w:val="001A565C"/>
    <w:rsid w:val="001B0473"/>
    <w:rsid w:val="001C51CF"/>
    <w:rsid w:val="001D561B"/>
    <w:rsid w:val="001E6B4F"/>
    <w:rsid w:val="001F5E57"/>
    <w:rsid w:val="00235D33"/>
    <w:rsid w:val="00250744"/>
    <w:rsid w:val="00255FA9"/>
    <w:rsid w:val="002670BB"/>
    <w:rsid w:val="00267714"/>
    <w:rsid w:val="00271193"/>
    <w:rsid w:val="00276F4D"/>
    <w:rsid w:val="00281C5C"/>
    <w:rsid w:val="00295E7A"/>
    <w:rsid w:val="002966B2"/>
    <w:rsid w:val="002A78A1"/>
    <w:rsid w:val="002B5897"/>
    <w:rsid w:val="002C169E"/>
    <w:rsid w:val="002E2492"/>
    <w:rsid w:val="00311F42"/>
    <w:rsid w:val="0033368F"/>
    <w:rsid w:val="00333D82"/>
    <w:rsid w:val="0033408C"/>
    <w:rsid w:val="00342C0E"/>
    <w:rsid w:val="0035087D"/>
    <w:rsid w:val="003631A1"/>
    <w:rsid w:val="003651B2"/>
    <w:rsid w:val="00371BC7"/>
    <w:rsid w:val="003C7B79"/>
    <w:rsid w:val="003E0D46"/>
    <w:rsid w:val="003F49FB"/>
    <w:rsid w:val="003F7953"/>
    <w:rsid w:val="00405D0B"/>
    <w:rsid w:val="0041541D"/>
    <w:rsid w:val="00426EFD"/>
    <w:rsid w:val="00442341"/>
    <w:rsid w:val="004B7233"/>
    <w:rsid w:val="004C0C9B"/>
    <w:rsid w:val="004D2E3F"/>
    <w:rsid w:val="00511C73"/>
    <w:rsid w:val="00526F9E"/>
    <w:rsid w:val="0056178C"/>
    <w:rsid w:val="00583C21"/>
    <w:rsid w:val="005B7DF6"/>
    <w:rsid w:val="005C1682"/>
    <w:rsid w:val="005D0F69"/>
    <w:rsid w:val="005D1828"/>
    <w:rsid w:val="005F0ED6"/>
    <w:rsid w:val="005F4294"/>
    <w:rsid w:val="00607DE4"/>
    <w:rsid w:val="00623AA3"/>
    <w:rsid w:val="0064613B"/>
    <w:rsid w:val="00650ECB"/>
    <w:rsid w:val="00656117"/>
    <w:rsid w:val="006573B3"/>
    <w:rsid w:val="00661007"/>
    <w:rsid w:val="00666B16"/>
    <w:rsid w:val="006B4A8F"/>
    <w:rsid w:val="006B63C0"/>
    <w:rsid w:val="006C3CBA"/>
    <w:rsid w:val="006C5581"/>
    <w:rsid w:val="006C57B4"/>
    <w:rsid w:val="006C6544"/>
    <w:rsid w:val="0070505D"/>
    <w:rsid w:val="007102FD"/>
    <w:rsid w:val="00717D92"/>
    <w:rsid w:val="00730F84"/>
    <w:rsid w:val="007405A4"/>
    <w:rsid w:val="007432B4"/>
    <w:rsid w:val="007562FC"/>
    <w:rsid w:val="00767DC1"/>
    <w:rsid w:val="00812A20"/>
    <w:rsid w:val="00826DE3"/>
    <w:rsid w:val="00834041"/>
    <w:rsid w:val="00836F2A"/>
    <w:rsid w:val="00837B37"/>
    <w:rsid w:val="00885982"/>
    <w:rsid w:val="008B0FEB"/>
    <w:rsid w:val="008C5397"/>
    <w:rsid w:val="008E345B"/>
    <w:rsid w:val="008E3823"/>
    <w:rsid w:val="008F7DA4"/>
    <w:rsid w:val="009006AA"/>
    <w:rsid w:val="00907CB0"/>
    <w:rsid w:val="00944CB4"/>
    <w:rsid w:val="00946EBD"/>
    <w:rsid w:val="00973D0C"/>
    <w:rsid w:val="009B70F6"/>
    <w:rsid w:val="009D618B"/>
    <w:rsid w:val="009E2BF3"/>
    <w:rsid w:val="00A15903"/>
    <w:rsid w:val="00A22D09"/>
    <w:rsid w:val="00A22FD0"/>
    <w:rsid w:val="00A27B94"/>
    <w:rsid w:val="00A617C6"/>
    <w:rsid w:val="00A97F16"/>
    <w:rsid w:val="00AA0E4A"/>
    <w:rsid w:val="00AB7530"/>
    <w:rsid w:val="00AC43F0"/>
    <w:rsid w:val="00AD3442"/>
    <w:rsid w:val="00AD4F55"/>
    <w:rsid w:val="00AE63BC"/>
    <w:rsid w:val="00B258F2"/>
    <w:rsid w:val="00B602FE"/>
    <w:rsid w:val="00BB47F3"/>
    <w:rsid w:val="00BB7900"/>
    <w:rsid w:val="00BC2D01"/>
    <w:rsid w:val="00BF1EBD"/>
    <w:rsid w:val="00BF54F8"/>
    <w:rsid w:val="00C03135"/>
    <w:rsid w:val="00C152DD"/>
    <w:rsid w:val="00C310A6"/>
    <w:rsid w:val="00C6416E"/>
    <w:rsid w:val="00C657A5"/>
    <w:rsid w:val="00CD0088"/>
    <w:rsid w:val="00D203DF"/>
    <w:rsid w:val="00D357BF"/>
    <w:rsid w:val="00D60FD9"/>
    <w:rsid w:val="00D6745D"/>
    <w:rsid w:val="00D73E73"/>
    <w:rsid w:val="00D83B4F"/>
    <w:rsid w:val="00DA206C"/>
    <w:rsid w:val="00DD1ECE"/>
    <w:rsid w:val="00DE0E73"/>
    <w:rsid w:val="00DE1097"/>
    <w:rsid w:val="00DE7053"/>
    <w:rsid w:val="00DF33B7"/>
    <w:rsid w:val="00E007EA"/>
    <w:rsid w:val="00E05E3D"/>
    <w:rsid w:val="00E146F6"/>
    <w:rsid w:val="00E30117"/>
    <w:rsid w:val="00E317E3"/>
    <w:rsid w:val="00E32B23"/>
    <w:rsid w:val="00E36E7A"/>
    <w:rsid w:val="00E440D1"/>
    <w:rsid w:val="00E44651"/>
    <w:rsid w:val="00E57416"/>
    <w:rsid w:val="00E6295A"/>
    <w:rsid w:val="00E8242E"/>
    <w:rsid w:val="00F10F3A"/>
    <w:rsid w:val="00F17649"/>
    <w:rsid w:val="00F5064A"/>
    <w:rsid w:val="00F535EB"/>
    <w:rsid w:val="00F84257"/>
    <w:rsid w:val="00FA50CF"/>
    <w:rsid w:val="00FC2B9E"/>
    <w:rsid w:val="00FC7CFD"/>
    <w:rsid w:val="00FE55F8"/>
    <w:rsid w:val="00FF04F9"/>
    <w:rsid w:val="00FF558E"/>
    <w:rsid w:val="00FF6CA6"/>
    <w:rsid w:val="073F2CB4"/>
    <w:rsid w:val="0E0D1416"/>
    <w:rsid w:val="261135AC"/>
    <w:rsid w:val="28E13369"/>
    <w:rsid w:val="29B11398"/>
    <w:rsid w:val="2C43733F"/>
    <w:rsid w:val="4E2E036C"/>
    <w:rsid w:val="53753511"/>
    <w:rsid w:val="55E95892"/>
    <w:rsid w:val="57945CD1"/>
    <w:rsid w:val="5BEC7506"/>
    <w:rsid w:val="70B76860"/>
    <w:rsid w:val="71206AE4"/>
    <w:rsid w:val="73FB37F0"/>
    <w:rsid w:val="76CF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7"/>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eastAsia="宋体"/>
      <w:sz w:val="18"/>
      <w:szCs w:val="18"/>
    </w:rPr>
  </w:style>
  <w:style w:type="paragraph" w:styleId="4">
    <w:name w:val="annotation text"/>
    <w:basedOn w:val="1"/>
    <w:link w:val="20"/>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59"/>
    <w:pPr>
      <w:ind w:firstLine="420"/>
      <w:jc w:val="both"/>
    </w:pPr>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框文本 字符"/>
    <w:basedOn w:val="12"/>
    <w:link w:val="5"/>
    <w:semiHidden/>
    <w:qFormat/>
    <w:uiPriority w:val="99"/>
    <w:rPr>
      <w:sz w:val="18"/>
      <w:szCs w:val="18"/>
    </w:rPr>
  </w:style>
  <w:style w:type="character" w:customStyle="1" w:styleId="17">
    <w:name w:val="标题 4 字符"/>
    <w:basedOn w:val="12"/>
    <w:link w:val="2"/>
    <w:qFormat/>
    <w:uiPriority w:val="0"/>
    <w:rPr>
      <w:rFonts w:ascii="Arial" w:hAnsi="Arial" w:eastAsia="黑体" w:cs="Times New Roman"/>
      <w:b/>
      <w:bCs/>
      <w:sz w:val="28"/>
      <w:szCs w:val="28"/>
    </w:rPr>
  </w:style>
  <w:style w:type="paragraph" w:customStyle="1" w:styleId="1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19">
    <w:name w:val="文档结构图 字符"/>
    <w:basedOn w:val="12"/>
    <w:link w:val="3"/>
    <w:semiHidden/>
    <w:qFormat/>
    <w:uiPriority w:val="99"/>
    <w:rPr>
      <w:rFonts w:ascii="宋体" w:eastAsia="宋体"/>
      <w:sz w:val="18"/>
      <w:szCs w:val="18"/>
    </w:rPr>
  </w:style>
  <w:style w:type="character" w:customStyle="1" w:styleId="20">
    <w:name w:val="批注文字 字符"/>
    <w:basedOn w:val="12"/>
    <w:link w:val="4"/>
    <w:semiHidden/>
    <w:qFormat/>
    <w:uiPriority w:val="99"/>
  </w:style>
  <w:style w:type="character" w:customStyle="1" w:styleId="21">
    <w:name w:val="批注主题 字符"/>
    <w:basedOn w:val="20"/>
    <w:link w:val="9"/>
    <w:semiHidden/>
    <w:qFormat/>
    <w:uiPriority w:val="99"/>
    <w:rPr>
      <w:b/>
      <w:bCs/>
    </w:rPr>
  </w:style>
  <w:style w:type="paragraph" w:styleId="22">
    <w:name w:val="List Paragraph"/>
    <w:basedOn w:val="1"/>
    <w:qFormat/>
    <w:uiPriority w:val="34"/>
    <w:pPr>
      <w:ind w:firstLine="420" w:firstLineChars="200"/>
    </w:pPr>
  </w:style>
  <w:style w:type="paragraph" w:customStyle="1" w:styleId="23">
    <w:name w:val="列出段落311"/>
    <w:basedOn w:val="1"/>
    <w:qFormat/>
    <w:uiPriority w:val="99"/>
    <w:pPr>
      <w:spacing w:line="334" w:lineRule="auto"/>
      <w:ind w:firstLine="420" w:firstLineChars="200"/>
    </w:pPr>
    <w:rPr>
      <w:sz w:val="24"/>
      <w:szCs w:val="20"/>
    </w:rPr>
  </w:style>
  <w:style w:type="paragraph" w:customStyle="1" w:styleId="24">
    <w:name w:val="列出段落1"/>
    <w:basedOn w:val="1"/>
    <w:qFormat/>
    <w:uiPriority w:val="34"/>
    <w:pPr>
      <w:spacing w:line="334" w:lineRule="auto"/>
      <w:ind w:firstLine="420" w:firstLineChars="200"/>
    </w:pPr>
    <w:rPr>
      <w:sz w:val="24"/>
      <w:szCs w:val="20"/>
    </w:rPr>
  </w:style>
  <w:style w:type="paragraph" w:customStyle="1" w:styleId="25">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14840</Words>
  <Characters>15041</Characters>
  <Lines>19</Lines>
  <Paragraphs>5</Paragraphs>
  <TotalTime>1</TotalTime>
  <ScaleCrop>false</ScaleCrop>
  <LinksUpToDate>false</LinksUpToDate>
  <CharactersWithSpaces>15076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2019-12-31T05:34:00Z</dcterms:created>
  <dc:creator>段国强</dc:creator>
  <cp:lastModifiedBy>WPS_1659687614</cp:lastModifiedBy>
  <dcterms:modified xsi:type="dcterms:W3CDTF">2024-12-25T09:51:47Z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B91B3ACEA1D742FDA5F2FAAAF5C00472_12</vt:lpwstr>
  </property>
</Properties>
</file>