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156"/>
      </w:tblGrid>
      <w:tr w14:paraId="60666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42E8F8F">
            <w:pPr>
              <w:adjustRightInd w:val="0"/>
              <w:snapToGrid w:val="0"/>
              <w:jc w:val="center"/>
              <w:rPr>
                <w:rFonts w:ascii="宋体" w:hAnsi="宋体" w:cs="宋体"/>
                <w:bCs/>
                <w:szCs w:val="21"/>
                <w:highlight w:val="none"/>
              </w:rPr>
            </w:pPr>
            <w:r>
              <w:rPr>
                <w:rFonts w:hint="eastAsia" w:ascii="宋体" w:hAnsi="宋体" w:cs="宋体"/>
                <w:bCs/>
                <w:szCs w:val="21"/>
                <w:highlight w:val="none"/>
              </w:rPr>
              <w:t>产品名称</w:t>
            </w:r>
          </w:p>
        </w:tc>
        <w:tc>
          <w:tcPr>
            <w:tcW w:w="7156" w:type="dxa"/>
            <w:tcBorders>
              <w:top w:val="single" w:color="auto" w:sz="4" w:space="0"/>
              <w:left w:val="single" w:color="auto" w:sz="4" w:space="0"/>
              <w:bottom w:val="single" w:color="auto" w:sz="4" w:space="0"/>
              <w:right w:val="single" w:color="auto" w:sz="4" w:space="0"/>
            </w:tcBorders>
            <w:vAlign w:val="center"/>
          </w:tcPr>
          <w:p w14:paraId="0376423D">
            <w:pPr>
              <w:adjustRightInd w:val="0"/>
              <w:snapToGrid w:val="0"/>
              <w:jc w:val="center"/>
              <w:rPr>
                <w:rFonts w:ascii="宋体" w:hAnsi="宋体" w:cs="宋体"/>
                <w:bCs/>
                <w:szCs w:val="21"/>
                <w:highlight w:val="none"/>
              </w:rPr>
            </w:pPr>
            <w:r>
              <w:rPr>
                <w:rFonts w:hint="eastAsia" w:ascii="宋体" w:hAnsi="宋体" w:cs="宋体"/>
                <w:bCs/>
                <w:szCs w:val="21"/>
                <w:highlight w:val="none"/>
              </w:rPr>
              <w:t>瑞达期货-</w:t>
            </w:r>
            <w:r>
              <w:rPr>
                <w:rFonts w:hint="eastAsia" w:ascii="宋体" w:hAnsi="宋体" w:cs="宋体"/>
                <w:bCs/>
                <w:szCs w:val="21"/>
                <w:highlight w:val="none"/>
                <w:lang w:val="en-US" w:eastAsia="zh-CN"/>
              </w:rPr>
              <w:t>瑞智无忧共赢87号</w:t>
            </w:r>
            <w:r>
              <w:rPr>
                <w:rFonts w:hint="eastAsia" w:ascii="宋体" w:hAnsi="宋体" w:cs="宋体"/>
                <w:bCs/>
                <w:szCs w:val="21"/>
                <w:highlight w:val="none"/>
              </w:rPr>
              <w:t>集合资产管理计划</w:t>
            </w:r>
          </w:p>
        </w:tc>
      </w:tr>
      <w:tr w14:paraId="00AFD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889D978">
            <w:pPr>
              <w:adjustRightInd w:val="0"/>
              <w:snapToGrid w:val="0"/>
              <w:jc w:val="center"/>
              <w:rPr>
                <w:rFonts w:ascii="宋体" w:hAnsi="宋体" w:cs="宋体"/>
                <w:bCs/>
                <w:szCs w:val="21"/>
                <w:highlight w:val="none"/>
              </w:rPr>
            </w:pPr>
            <w:r>
              <w:rPr>
                <w:rFonts w:hint="eastAsia" w:ascii="宋体" w:hAnsi="宋体" w:cs="宋体"/>
                <w:bCs/>
                <w:szCs w:val="21"/>
                <w:highlight w:val="none"/>
              </w:rPr>
              <w:t>产品预编码</w:t>
            </w:r>
          </w:p>
        </w:tc>
        <w:tc>
          <w:tcPr>
            <w:tcW w:w="7156" w:type="dxa"/>
            <w:tcBorders>
              <w:top w:val="single" w:color="auto" w:sz="4" w:space="0"/>
              <w:left w:val="single" w:color="auto" w:sz="4" w:space="0"/>
              <w:bottom w:val="single" w:color="auto" w:sz="4" w:space="0"/>
              <w:right w:val="single" w:color="auto" w:sz="4" w:space="0"/>
            </w:tcBorders>
            <w:vAlign w:val="center"/>
          </w:tcPr>
          <w:p w14:paraId="4E449C19">
            <w:pPr>
              <w:adjustRightInd w:val="0"/>
              <w:snapToGrid w:val="0"/>
              <w:jc w:val="center"/>
              <w:rPr>
                <w:rFonts w:ascii="宋体" w:hAnsi="宋体" w:cs="宋体"/>
                <w:bCs/>
                <w:szCs w:val="21"/>
                <w:highlight w:val="none"/>
              </w:rPr>
            </w:pPr>
            <w:r>
              <w:rPr>
                <w:rFonts w:hint="eastAsia" w:ascii="宋体" w:hAnsi="宋体" w:eastAsia="宋体" w:cs="宋体"/>
                <w:sz w:val="21"/>
                <w:szCs w:val="21"/>
              </w:rPr>
              <w:t>SB3015</w:t>
            </w:r>
          </w:p>
        </w:tc>
      </w:tr>
      <w:tr w14:paraId="0AE28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7E5D661">
            <w:pPr>
              <w:adjustRightInd w:val="0"/>
              <w:snapToGrid w:val="0"/>
              <w:jc w:val="center"/>
              <w:rPr>
                <w:rFonts w:ascii="宋体" w:hAnsi="宋体" w:cs="宋体"/>
                <w:bCs/>
                <w:szCs w:val="21"/>
                <w:highlight w:val="none"/>
              </w:rPr>
            </w:pPr>
            <w:r>
              <w:rPr>
                <w:rFonts w:hint="eastAsia" w:ascii="宋体" w:hAnsi="宋体" w:cs="宋体"/>
                <w:bCs/>
                <w:szCs w:val="21"/>
                <w:highlight w:val="none"/>
              </w:rPr>
              <w:t>管理人</w:t>
            </w:r>
          </w:p>
        </w:tc>
        <w:tc>
          <w:tcPr>
            <w:tcW w:w="7156" w:type="dxa"/>
            <w:tcBorders>
              <w:top w:val="single" w:color="auto" w:sz="4" w:space="0"/>
              <w:left w:val="single" w:color="auto" w:sz="4" w:space="0"/>
              <w:bottom w:val="single" w:color="auto" w:sz="4" w:space="0"/>
              <w:right w:val="single" w:color="auto" w:sz="4" w:space="0"/>
            </w:tcBorders>
            <w:vAlign w:val="center"/>
          </w:tcPr>
          <w:p w14:paraId="5B169305">
            <w:pPr>
              <w:adjustRightInd w:val="0"/>
              <w:snapToGrid w:val="0"/>
              <w:jc w:val="center"/>
              <w:rPr>
                <w:rFonts w:ascii="宋体" w:hAnsi="宋体" w:cs="宋体"/>
                <w:bCs/>
                <w:szCs w:val="21"/>
                <w:highlight w:val="none"/>
              </w:rPr>
            </w:pPr>
            <w:r>
              <w:rPr>
                <w:rFonts w:hint="eastAsia" w:ascii="宋体" w:hAnsi="宋体" w:cs="宋体"/>
                <w:bCs/>
                <w:szCs w:val="21"/>
                <w:highlight w:val="none"/>
              </w:rPr>
              <w:t>瑞达期货股份有限公司</w:t>
            </w:r>
          </w:p>
        </w:tc>
      </w:tr>
      <w:tr w14:paraId="5F2E2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98A83AE">
            <w:pPr>
              <w:adjustRightInd w:val="0"/>
              <w:snapToGrid w:val="0"/>
              <w:jc w:val="center"/>
              <w:rPr>
                <w:rFonts w:ascii="宋体" w:hAnsi="宋体" w:cs="宋体"/>
                <w:bCs/>
                <w:szCs w:val="21"/>
                <w:highlight w:val="none"/>
              </w:rPr>
            </w:pPr>
            <w:r>
              <w:rPr>
                <w:rFonts w:hint="eastAsia" w:ascii="宋体" w:hAnsi="宋体" w:cs="宋体"/>
                <w:bCs/>
                <w:szCs w:val="21"/>
                <w:highlight w:val="none"/>
              </w:rPr>
              <w:t>基金管理人组织形式</w:t>
            </w:r>
          </w:p>
        </w:tc>
        <w:tc>
          <w:tcPr>
            <w:tcW w:w="7156" w:type="dxa"/>
            <w:tcBorders>
              <w:top w:val="single" w:color="auto" w:sz="4" w:space="0"/>
              <w:left w:val="single" w:color="auto" w:sz="4" w:space="0"/>
              <w:bottom w:val="single" w:color="auto" w:sz="4" w:space="0"/>
              <w:right w:val="single" w:color="auto" w:sz="4" w:space="0"/>
            </w:tcBorders>
            <w:vAlign w:val="center"/>
          </w:tcPr>
          <w:p w14:paraId="58D8C5B6">
            <w:pPr>
              <w:adjustRightInd w:val="0"/>
              <w:snapToGrid w:val="0"/>
              <w:jc w:val="center"/>
              <w:rPr>
                <w:rFonts w:ascii="宋体" w:hAnsi="宋体" w:cs="宋体"/>
                <w:bCs/>
                <w:szCs w:val="21"/>
                <w:highlight w:val="none"/>
              </w:rPr>
            </w:pPr>
            <w:r>
              <w:rPr>
                <w:rFonts w:hint="eastAsia" w:ascii="宋体" w:hAnsi="宋体" w:cs="宋体"/>
                <w:bCs/>
                <w:szCs w:val="21"/>
                <w:highlight w:val="none"/>
              </w:rPr>
              <w:t>股份制</w:t>
            </w:r>
          </w:p>
        </w:tc>
      </w:tr>
      <w:tr w14:paraId="07608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3C2108C">
            <w:pPr>
              <w:adjustRightInd w:val="0"/>
              <w:snapToGrid w:val="0"/>
              <w:jc w:val="center"/>
              <w:rPr>
                <w:rFonts w:ascii="宋体" w:hAnsi="宋体" w:cs="宋体"/>
                <w:bCs/>
                <w:szCs w:val="21"/>
                <w:highlight w:val="none"/>
              </w:rPr>
            </w:pPr>
            <w:r>
              <w:rPr>
                <w:rFonts w:hint="eastAsia" w:ascii="宋体" w:hAnsi="宋体" w:cs="宋体"/>
                <w:bCs/>
                <w:szCs w:val="21"/>
                <w:highlight w:val="none"/>
              </w:rPr>
              <w:t>基金管理人备案信息</w:t>
            </w:r>
          </w:p>
        </w:tc>
        <w:tc>
          <w:tcPr>
            <w:tcW w:w="7156" w:type="dxa"/>
            <w:tcBorders>
              <w:top w:val="single" w:color="auto" w:sz="4" w:space="0"/>
              <w:left w:val="single" w:color="auto" w:sz="4" w:space="0"/>
              <w:bottom w:val="single" w:color="auto" w:sz="4" w:space="0"/>
              <w:right w:val="single" w:color="auto" w:sz="4" w:space="0"/>
            </w:tcBorders>
            <w:vAlign w:val="center"/>
          </w:tcPr>
          <w:p w14:paraId="1E987033">
            <w:pPr>
              <w:adjustRightInd w:val="0"/>
              <w:snapToGrid w:val="0"/>
              <w:jc w:val="center"/>
              <w:rPr>
                <w:rFonts w:ascii="宋体" w:hAnsi="宋体" w:cs="宋体"/>
                <w:bCs/>
                <w:szCs w:val="21"/>
                <w:highlight w:val="none"/>
              </w:rPr>
            </w:pPr>
            <w:r>
              <w:rPr>
                <w:rFonts w:hint="eastAsia" w:ascii="宋体" w:hAnsi="宋体" w:cs="宋体"/>
                <w:bCs/>
                <w:szCs w:val="21"/>
                <w:highlight w:val="none"/>
              </w:rPr>
              <w:t>中国证监会颁发证监许可（2012）1722号文件核准瑞达期货股份有限公司资产管理业务资格</w:t>
            </w:r>
          </w:p>
        </w:tc>
      </w:tr>
      <w:tr w14:paraId="6636C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26EB945">
            <w:pPr>
              <w:adjustRightInd w:val="0"/>
              <w:snapToGrid w:val="0"/>
              <w:jc w:val="center"/>
              <w:rPr>
                <w:rFonts w:ascii="宋体" w:hAnsi="宋体" w:cs="宋体"/>
                <w:bCs/>
                <w:szCs w:val="21"/>
                <w:highlight w:val="none"/>
              </w:rPr>
            </w:pPr>
            <w:r>
              <w:rPr>
                <w:rFonts w:hint="eastAsia" w:ascii="宋体" w:hAnsi="宋体" w:cs="宋体"/>
                <w:bCs/>
                <w:szCs w:val="21"/>
                <w:highlight w:val="none"/>
              </w:rPr>
              <w:t>基金托管人</w:t>
            </w:r>
          </w:p>
        </w:tc>
        <w:tc>
          <w:tcPr>
            <w:tcW w:w="7156" w:type="dxa"/>
            <w:tcBorders>
              <w:top w:val="single" w:color="auto" w:sz="4" w:space="0"/>
              <w:left w:val="single" w:color="auto" w:sz="4" w:space="0"/>
              <w:bottom w:val="single" w:color="auto" w:sz="4" w:space="0"/>
              <w:right w:val="single" w:color="auto" w:sz="4" w:space="0"/>
            </w:tcBorders>
            <w:vAlign w:val="center"/>
          </w:tcPr>
          <w:p w14:paraId="542F35D3">
            <w:pPr>
              <w:adjustRightInd w:val="0"/>
              <w:snapToGrid w:val="0"/>
              <w:jc w:val="center"/>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国泰君安证券股份有限公司</w:t>
            </w:r>
          </w:p>
        </w:tc>
      </w:tr>
      <w:tr w14:paraId="49D5E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C45F5A5">
            <w:pPr>
              <w:adjustRightInd w:val="0"/>
              <w:snapToGrid w:val="0"/>
              <w:jc w:val="center"/>
              <w:rPr>
                <w:rFonts w:ascii="宋体" w:hAnsi="宋体" w:cs="宋体"/>
                <w:bCs/>
                <w:szCs w:val="21"/>
                <w:highlight w:val="none"/>
              </w:rPr>
            </w:pPr>
            <w:r>
              <w:rPr>
                <w:rFonts w:hint="eastAsia" w:ascii="宋体" w:hAnsi="宋体" w:cs="宋体"/>
                <w:bCs/>
                <w:szCs w:val="21"/>
                <w:highlight w:val="none"/>
              </w:rPr>
              <w:t>投资顾问</w:t>
            </w:r>
          </w:p>
        </w:tc>
        <w:tc>
          <w:tcPr>
            <w:tcW w:w="7156" w:type="dxa"/>
            <w:tcBorders>
              <w:top w:val="single" w:color="auto" w:sz="4" w:space="0"/>
              <w:left w:val="single" w:color="auto" w:sz="4" w:space="0"/>
              <w:bottom w:val="single" w:color="auto" w:sz="4" w:space="0"/>
              <w:right w:val="single" w:color="auto" w:sz="4" w:space="0"/>
            </w:tcBorders>
            <w:vAlign w:val="center"/>
          </w:tcPr>
          <w:p w14:paraId="154244E2">
            <w:pPr>
              <w:adjustRightInd w:val="0"/>
              <w:snapToGrid w:val="0"/>
              <w:jc w:val="center"/>
              <w:rPr>
                <w:rFonts w:ascii="宋体" w:hAnsi="宋体" w:cs="宋体"/>
                <w:bCs/>
                <w:szCs w:val="21"/>
                <w:highlight w:val="none"/>
              </w:rPr>
            </w:pPr>
            <w:r>
              <w:rPr>
                <w:rFonts w:hint="eastAsia" w:ascii="宋体" w:hAnsi="宋体" w:cs="宋体"/>
                <w:bCs/>
                <w:szCs w:val="21"/>
                <w:highlight w:val="none"/>
              </w:rPr>
              <w:t>我司自主管理产品，无投资顾问</w:t>
            </w:r>
          </w:p>
        </w:tc>
      </w:tr>
      <w:tr w14:paraId="533F2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7A9C744">
            <w:pPr>
              <w:adjustRightInd w:val="0"/>
              <w:snapToGrid w:val="0"/>
              <w:jc w:val="center"/>
              <w:rPr>
                <w:rFonts w:ascii="宋体" w:hAnsi="宋体" w:cs="宋体"/>
                <w:bCs/>
                <w:szCs w:val="21"/>
                <w:highlight w:val="none"/>
              </w:rPr>
            </w:pPr>
            <w:r>
              <w:rPr>
                <w:rFonts w:hint="eastAsia" w:ascii="宋体" w:hAnsi="宋体" w:cs="宋体"/>
                <w:bCs/>
                <w:szCs w:val="21"/>
                <w:highlight w:val="none"/>
              </w:rPr>
              <w:t>投资经理</w:t>
            </w:r>
          </w:p>
        </w:tc>
        <w:tc>
          <w:tcPr>
            <w:tcW w:w="7156" w:type="dxa"/>
            <w:tcBorders>
              <w:top w:val="single" w:color="auto" w:sz="4" w:space="0"/>
              <w:left w:val="single" w:color="auto" w:sz="4" w:space="0"/>
              <w:bottom w:val="single" w:color="auto" w:sz="4" w:space="0"/>
              <w:right w:val="single" w:color="auto" w:sz="4" w:space="0"/>
            </w:tcBorders>
            <w:vAlign w:val="center"/>
          </w:tcPr>
          <w:p w14:paraId="7A94A4B4">
            <w:pPr>
              <w:adjustRightInd w:val="0"/>
              <w:snapToGri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张夕阳</w:t>
            </w:r>
          </w:p>
        </w:tc>
      </w:tr>
      <w:tr w14:paraId="79F8D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F006F90">
            <w:pPr>
              <w:adjustRightInd w:val="0"/>
              <w:snapToGrid w:val="0"/>
              <w:jc w:val="center"/>
              <w:rPr>
                <w:rFonts w:ascii="宋体" w:hAnsi="宋体" w:cs="宋体"/>
                <w:bCs/>
                <w:szCs w:val="21"/>
                <w:highlight w:val="none"/>
              </w:rPr>
            </w:pPr>
            <w:r>
              <w:rPr>
                <w:rFonts w:hint="eastAsia" w:ascii="宋体" w:hAnsi="宋体" w:cs="宋体"/>
                <w:bCs/>
                <w:szCs w:val="21"/>
                <w:highlight w:val="none"/>
              </w:rPr>
              <w:t>产品类型</w:t>
            </w:r>
          </w:p>
        </w:tc>
        <w:tc>
          <w:tcPr>
            <w:tcW w:w="7156" w:type="dxa"/>
            <w:tcBorders>
              <w:top w:val="single" w:color="auto" w:sz="4" w:space="0"/>
              <w:left w:val="single" w:color="auto" w:sz="4" w:space="0"/>
              <w:bottom w:val="single" w:color="auto" w:sz="4" w:space="0"/>
              <w:right w:val="single" w:color="auto" w:sz="4" w:space="0"/>
            </w:tcBorders>
            <w:vAlign w:val="center"/>
          </w:tcPr>
          <w:p w14:paraId="0206EF08">
            <w:pPr>
              <w:adjustRightInd w:val="0"/>
              <w:snapToGrid w:val="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期货和衍生品类</w:t>
            </w:r>
          </w:p>
        </w:tc>
      </w:tr>
      <w:tr w14:paraId="775E7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C0B4F1C">
            <w:pPr>
              <w:adjustRightInd w:val="0"/>
              <w:snapToGrid w:val="0"/>
              <w:jc w:val="center"/>
              <w:rPr>
                <w:rFonts w:ascii="宋体" w:hAnsi="宋体" w:cs="宋体"/>
                <w:bCs/>
                <w:szCs w:val="21"/>
                <w:highlight w:val="none"/>
              </w:rPr>
            </w:pPr>
            <w:r>
              <w:rPr>
                <w:rFonts w:hint="eastAsia" w:ascii="宋体" w:hAnsi="宋体" w:cs="宋体"/>
                <w:bCs/>
                <w:szCs w:val="21"/>
                <w:highlight w:val="none"/>
              </w:rPr>
              <w:t>产品类别</w:t>
            </w:r>
          </w:p>
        </w:tc>
        <w:tc>
          <w:tcPr>
            <w:tcW w:w="7156" w:type="dxa"/>
            <w:tcBorders>
              <w:top w:val="single" w:color="auto" w:sz="4" w:space="0"/>
              <w:left w:val="single" w:color="auto" w:sz="4" w:space="0"/>
              <w:bottom w:val="single" w:color="auto" w:sz="4" w:space="0"/>
              <w:right w:val="single" w:color="auto" w:sz="4" w:space="0"/>
            </w:tcBorders>
            <w:vAlign w:val="center"/>
          </w:tcPr>
          <w:p w14:paraId="23AC3D3D">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期货公司期货和衍生品类集合资产管理计划</w:t>
            </w:r>
          </w:p>
        </w:tc>
      </w:tr>
      <w:tr w14:paraId="2B7EF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C1DE287">
            <w:pPr>
              <w:adjustRightInd w:val="0"/>
              <w:snapToGrid w:val="0"/>
              <w:jc w:val="center"/>
              <w:rPr>
                <w:rFonts w:ascii="宋体" w:hAnsi="宋体" w:cs="宋体"/>
                <w:bCs/>
                <w:szCs w:val="21"/>
                <w:highlight w:val="none"/>
              </w:rPr>
            </w:pPr>
            <w:r>
              <w:rPr>
                <w:rFonts w:hint="eastAsia" w:ascii="宋体" w:hAnsi="宋体" w:cs="宋体"/>
                <w:bCs/>
                <w:szCs w:val="21"/>
                <w:highlight w:val="none"/>
              </w:rPr>
              <w:t>风险收益特征</w:t>
            </w:r>
          </w:p>
        </w:tc>
        <w:tc>
          <w:tcPr>
            <w:tcW w:w="7156" w:type="dxa"/>
            <w:tcBorders>
              <w:top w:val="single" w:color="auto" w:sz="4" w:space="0"/>
              <w:left w:val="single" w:color="auto" w:sz="4" w:space="0"/>
              <w:bottom w:val="single" w:color="auto" w:sz="4" w:space="0"/>
              <w:right w:val="single" w:color="auto" w:sz="4" w:space="0"/>
            </w:tcBorders>
            <w:vAlign w:val="center"/>
          </w:tcPr>
          <w:p w14:paraId="468F44EB">
            <w:pPr>
              <w:adjustRightInd w:val="0"/>
              <w:snapToGrid w:val="0"/>
              <w:jc w:val="left"/>
              <w:rPr>
                <w:rFonts w:ascii="宋体" w:hAnsi="宋体" w:cs="宋体"/>
                <w:bCs/>
                <w:szCs w:val="21"/>
                <w:highlight w:val="none"/>
              </w:rPr>
            </w:pPr>
            <w:r>
              <w:rPr>
                <w:rFonts w:hint="eastAsia" w:ascii="宋体" w:hAnsi="宋体" w:cs="宋体"/>
                <w:bCs/>
                <w:szCs w:val="21"/>
                <w:highlight w:val="none"/>
              </w:rPr>
              <w:t>本资产管理计划属于【R4（中高）】风险投资品种，适合风险识别、评估、承受能力为【C4（积极）、C5（激进）】的普通合格投资者及专业投资者(本产品不接受风险识别能力和风险承受能力低于产品风险等级的投资者认购）</w:t>
            </w:r>
          </w:p>
        </w:tc>
      </w:tr>
      <w:tr w14:paraId="25AD0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F46A666">
            <w:pPr>
              <w:adjustRightInd w:val="0"/>
              <w:snapToGrid w:val="0"/>
              <w:jc w:val="center"/>
              <w:rPr>
                <w:rFonts w:ascii="宋体" w:hAnsi="宋体" w:cs="宋体"/>
                <w:bCs/>
                <w:szCs w:val="21"/>
                <w:highlight w:val="none"/>
              </w:rPr>
            </w:pPr>
            <w:r>
              <w:rPr>
                <w:rFonts w:hint="eastAsia" w:ascii="宋体" w:hAnsi="宋体" w:cs="宋体"/>
                <w:bCs/>
                <w:szCs w:val="21"/>
                <w:highlight w:val="none"/>
              </w:rPr>
              <w:t>投资策略</w:t>
            </w:r>
          </w:p>
        </w:tc>
        <w:tc>
          <w:tcPr>
            <w:tcW w:w="7156" w:type="dxa"/>
            <w:tcBorders>
              <w:top w:val="single" w:color="auto" w:sz="4" w:space="0"/>
              <w:left w:val="single" w:color="auto" w:sz="4" w:space="0"/>
              <w:bottom w:val="single" w:color="auto" w:sz="4" w:space="0"/>
              <w:right w:val="single" w:color="auto" w:sz="4" w:space="0"/>
            </w:tcBorders>
            <w:vAlign w:val="center"/>
          </w:tcPr>
          <w:p w14:paraId="715AA62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本计划依据宏观与产业的基本面逻辑和各个市场估值水平及波动情况，自上而下进行全市场全天候资产配置，以应对经济周期波动和单一市场局限，在风险可控前提下赚取超额收益。具体而言，本计划将以“多品种、多周期、多策略”的商品及衍生品（期货、期权）对冲套利策略为主，并从资产轮动和风险收益比等角度择时配置权益类（股票）资产，必要时，增加一定的固定收益类现金管理工具，以期达到在更低回撤下的更高收益。</w:t>
            </w:r>
          </w:p>
        </w:tc>
      </w:tr>
      <w:tr w14:paraId="1E09D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2EA0D61">
            <w:pPr>
              <w:adjustRightInd w:val="0"/>
              <w:snapToGrid w:val="0"/>
              <w:jc w:val="center"/>
              <w:rPr>
                <w:rFonts w:ascii="宋体" w:hAnsi="宋体" w:cs="宋体"/>
                <w:bCs/>
                <w:szCs w:val="21"/>
                <w:highlight w:val="none"/>
              </w:rPr>
            </w:pPr>
            <w:r>
              <w:rPr>
                <w:rFonts w:hint="eastAsia" w:ascii="宋体" w:hAnsi="宋体" w:cs="宋体"/>
                <w:bCs/>
                <w:szCs w:val="21"/>
                <w:highlight w:val="none"/>
              </w:rPr>
              <w:t>投资目标</w:t>
            </w:r>
          </w:p>
        </w:tc>
        <w:tc>
          <w:tcPr>
            <w:tcW w:w="7156" w:type="dxa"/>
            <w:tcBorders>
              <w:top w:val="single" w:color="auto" w:sz="4" w:space="0"/>
              <w:left w:val="single" w:color="auto" w:sz="4" w:space="0"/>
              <w:bottom w:val="single" w:color="auto" w:sz="4" w:space="0"/>
              <w:right w:val="single" w:color="auto" w:sz="4" w:space="0"/>
            </w:tcBorders>
            <w:vAlign w:val="center"/>
          </w:tcPr>
          <w:p w14:paraId="288A79FF">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在风险适度可控前提下，追求稳定、长期的适度收益。</w:t>
            </w:r>
          </w:p>
        </w:tc>
      </w:tr>
      <w:tr w14:paraId="5F7DC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6EDC3C7">
            <w:pPr>
              <w:adjustRightInd w:val="0"/>
              <w:snapToGrid w:val="0"/>
              <w:jc w:val="center"/>
              <w:rPr>
                <w:rFonts w:ascii="宋体" w:hAnsi="宋体" w:cs="宋体"/>
                <w:bCs/>
                <w:szCs w:val="21"/>
                <w:highlight w:val="none"/>
              </w:rPr>
            </w:pPr>
            <w:r>
              <w:rPr>
                <w:rFonts w:hint="eastAsia" w:ascii="宋体" w:hAnsi="宋体" w:cs="宋体"/>
                <w:bCs/>
                <w:szCs w:val="21"/>
                <w:highlight w:val="none"/>
              </w:rPr>
              <w:t>存续期</w:t>
            </w:r>
          </w:p>
        </w:tc>
        <w:tc>
          <w:tcPr>
            <w:tcW w:w="7156" w:type="dxa"/>
            <w:tcBorders>
              <w:top w:val="single" w:color="auto" w:sz="4" w:space="0"/>
              <w:left w:val="single" w:color="auto" w:sz="4" w:space="0"/>
              <w:bottom w:val="single" w:color="auto" w:sz="4" w:space="0"/>
              <w:right w:val="single" w:color="auto" w:sz="4" w:space="0"/>
            </w:tcBorders>
            <w:vAlign w:val="center"/>
          </w:tcPr>
          <w:p w14:paraId="7FB2C270">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10年</w:t>
            </w:r>
          </w:p>
        </w:tc>
      </w:tr>
      <w:tr w14:paraId="0A6E6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9562865">
            <w:pPr>
              <w:adjustRightInd w:val="0"/>
              <w:snapToGrid w:val="0"/>
              <w:jc w:val="center"/>
              <w:rPr>
                <w:rFonts w:ascii="宋体" w:hAnsi="宋体" w:cs="宋体"/>
                <w:bCs/>
                <w:szCs w:val="21"/>
                <w:highlight w:val="none"/>
              </w:rPr>
            </w:pPr>
            <w:r>
              <w:rPr>
                <w:rFonts w:hint="eastAsia" w:ascii="宋体" w:hAnsi="宋体" w:cs="宋体"/>
                <w:bCs/>
                <w:szCs w:val="21"/>
                <w:highlight w:val="none"/>
              </w:rPr>
              <w:t>募集期间</w:t>
            </w:r>
          </w:p>
        </w:tc>
        <w:tc>
          <w:tcPr>
            <w:tcW w:w="7156" w:type="dxa"/>
            <w:tcBorders>
              <w:top w:val="single" w:color="auto" w:sz="4" w:space="0"/>
              <w:left w:val="single" w:color="auto" w:sz="4" w:space="0"/>
              <w:bottom w:val="single" w:color="auto" w:sz="4" w:space="0"/>
              <w:right w:val="single" w:color="auto" w:sz="4" w:space="0"/>
            </w:tcBorders>
            <w:vAlign w:val="center"/>
          </w:tcPr>
          <w:p w14:paraId="6DE4D63C">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自份额发售之日起60天内</w:t>
            </w:r>
          </w:p>
        </w:tc>
      </w:tr>
      <w:tr w14:paraId="009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87C20C0">
            <w:pPr>
              <w:adjustRightInd w:val="0"/>
              <w:snapToGrid w:val="0"/>
              <w:jc w:val="center"/>
              <w:rPr>
                <w:rFonts w:ascii="宋体" w:hAnsi="宋体" w:cs="宋体"/>
                <w:bCs/>
                <w:szCs w:val="21"/>
                <w:highlight w:val="none"/>
              </w:rPr>
            </w:pPr>
            <w:r>
              <w:rPr>
                <w:rFonts w:hint="eastAsia" w:ascii="宋体" w:hAnsi="宋体" w:cs="宋体"/>
                <w:bCs/>
                <w:szCs w:val="21"/>
                <w:highlight w:val="none"/>
              </w:rPr>
              <w:t>封闭期</w:t>
            </w:r>
          </w:p>
        </w:tc>
        <w:tc>
          <w:tcPr>
            <w:tcW w:w="7156" w:type="dxa"/>
            <w:tcBorders>
              <w:top w:val="single" w:color="auto" w:sz="4" w:space="0"/>
              <w:left w:val="single" w:color="auto" w:sz="4" w:space="0"/>
              <w:bottom w:val="single" w:color="auto" w:sz="4" w:space="0"/>
              <w:right w:val="single" w:color="auto" w:sz="4" w:space="0"/>
            </w:tcBorders>
            <w:vAlign w:val="center"/>
          </w:tcPr>
          <w:p w14:paraId="1F543055">
            <w:pPr>
              <w:adjustRightInd w:val="0"/>
              <w:snapToGrid w:val="0"/>
              <w:jc w:val="center"/>
              <w:rPr>
                <w:rFonts w:hint="eastAsia" w:ascii="宋体" w:hAnsi="宋体" w:eastAsia="宋体" w:cs="宋体"/>
                <w:bCs/>
                <w:szCs w:val="21"/>
                <w:highlight w:val="yellow"/>
                <w:lang w:val="en-US" w:eastAsia="zh-CN"/>
              </w:rPr>
            </w:pPr>
            <w:r>
              <w:rPr>
                <w:rFonts w:hint="eastAsia" w:ascii="宋体" w:hAnsi="宋体" w:cs="宋体"/>
                <w:bCs/>
                <w:szCs w:val="21"/>
                <w:highlight w:val="none"/>
                <w:lang w:val="en-US" w:eastAsia="zh-CN"/>
              </w:rPr>
              <w:t>无</w:t>
            </w:r>
          </w:p>
        </w:tc>
      </w:tr>
      <w:tr w14:paraId="5BA71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46C97C3">
            <w:pPr>
              <w:adjustRightInd w:val="0"/>
              <w:snapToGrid w:val="0"/>
              <w:jc w:val="center"/>
              <w:rPr>
                <w:rFonts w:ascii="宋体" w:hAnsi="宋体" w:cs="宋体"/>
                <w:bCs/>
                <w:szCs w:val="21"/>
                <w:highlight w:val="none"/>
              </w:rPr>
            </w:pPr>
            <w:r>
              <w:rPr>
                <w:rFonts w:hint="eastAsia" w:ascii="宋体" w:hAnsi="宋体" w:cs="宋体"/>
                <w:bCs/>
                <w:szCs w:val="21"/>
                <w:highlight w:val="none"/>
              </w:rPr>
              <w:t>基金开放日</w:t>
            </w:r>
          </w:p>
        </w:tc>
        <w:tc>
          <w:tcPr>
            <w:tcW w:w="7156" w:type="dxa"/>
            <w:tcBorders>
              <w:top w:val="single" w:color="auto" w:sz="4" w:space="0"/>
              <w:left w:val="single" w:color="auto" w:sz="4" w:space="0"/>
              <w:bottom w:val="single" w:color="auto" w:sz="4" w:space="0"/>
              <w:right w:val="single" w:color="auto" w:sz="4" w:space="0"/>
            </w:tcBorders>
            <w:vAlign w:val="center"/>
          </w:tcPr>
          <w:p w14:paraId="73352CC6">
            <w:pPr>
              <w:adjustRightInd w:val="0"/>
              <w:snapToGrid w:val="0"/>
              <w:jc w:val="center"/>
              <w:rPr>
                <w:rFonts w:hint="eastAsia" w:ascii="宋体" w:hAnsi="宋体" w:cs="宋体"/>
                <w:bCs/>
                <w:szCs w:val="21"/>
                <w:highlight w:val="yellow"/>
              </w:rPr>
            </w:pPr>
            <w:r>
              <w:rPr>
                <w:rFonts w:hint="eastAsia" w:ascii="宋体" w:hAnsi="宋体" w:cs="宋体"/>
                <w:bCs/>
                <w:szCs w:val="21"/>
                <w:highlight w:val="none"/>
              </w:rPr>
              <w:t>本计划成立之后每周周</w:t>
            </w:r>
            <w:r>
              <w:rPr>
                <w:rFonts w:hint="eastAsia" w:ascii="宋体" w:hAnsi="宋体" w:cs="宋体"/>
                <w:bCs/>
                <w:szCs w:val="21"/>
                <w:highlight w:val="none"/>
                <w:lang w:val="en-US" w:eastAsia="zh-CN"/>
              </w:rPr>
              <w:t>三、周五</w:t>
            </w:r>
            <w:r>
              <w:rPr>
                <w:rFonts w:hint="eastAsia" w:ascii="宋体" w:hAnsi="宋体" w:cs="宋体"/>
                <w:bCs/>
                <w:szCs w:val="21"/>
                <w:highlight w:val="none"/>
              </w:rPr>
              <w:t>（如遇到非交易日，默认顺延至下一个交易日）</w:t>
            </w:r>
          </w:p>
        </w:tc>
      </w:tr>
      <w:tr w14:paraId="3EDC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89692CC">
            <w:pPr>
              <w:adjustRightInd w:val="0"/>
              <w:snapToGrid w:val="0"/>
              <w:jc w:val="center"/>
              <w:rPr>
                <w:rFonts w:ascii="宋体" w:hAnsi="宋体" w:cs="宋体"/>
                <w:bCs/>
                <w:szCs w:val="21"/>
                <w:highlight w:val="none"/>
              </w:rPr>
            </w:pPr>
            <w:r>
              <w:rPr>
                <w:rFonts w:hint="eastAsia" w:ascii="宋体" w:hAnsi="宋体" w:cs="宋体"/>
                <w:bCs/>
                <w:szCs w:val="21"/>
                <w:highlight w:val="none"/>
              </w:rPr>
              <w:t>预期募集规模</w:t>
            </w:r>
          </w:p>
        </w:tc>
        <w:tc>
          <w:tcPr>
            <w:tcW w:w="7156" w:type="dxa"/>
            <w:tcBorders>
              <w:top w:val="single" w:color="auto" w:sz="4" w:space="0"/>
              <w:left w:val="single" w:color="auto" w:sz="4" w:space="0"/>
              <w:bottom w:val="single" w:color="auto" w:sz="4" w:space="0"/>
              <w:right w:val="single" w:color="auto" w:sz="4" w:space="0"/>
            </w:tcBorders>
            <w:vAlign w:val="center"/>
          </w:tcPr>
          <w:p w14:paraId="3BD4F044">
            <w:pPr>
              <w:adjustRightInd w:val="0"/>
              <w:snapToGrid w:val="0"/>
              <w:jc w:val="center"/>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00万</w:t>
            </w:r>
          </w:p>
        </w:tc>
      </w:tr>
      <w:tr w14:paraId="31C7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5CF136E">
            <w:pPr>
              <w:adjustRightInd w:val="0"/>
              <w:snapToGrid w:val="0"/>
              <w:jc w:val="center"/>
              <w:rPr>
                <w:rFonts w:ascii="宋体" w:hAnsi="宋体" w:cs="宋体"/>
                <w:bCs/>
                <w:szCs w:val="21"/>
                <w:highlight w:val="none"/>
              </w:rPr>
            </w:pPr>
            <w:r>
              <w:rPr>
                <w:rFonts w:hint="eastAsia" w:ascii="宋体" w:hAnsi="宋体" w:cs="宋体"/>
                <w:bCs/>
                <w:szCs w:val="21"/>
                <w:highlight w:val="none"/>
              </w:rPr>
              <w:t>是否分级</w:t>
            </w:r>
          </w:p>
          <w:p w14:paraId="732D79C2">
            <w:pPr>
              <w:adjustRightInd w:val="0"/>
              <w:snapToGrid w:val="0"/>
              <w:jc w:val="center"/>
              <w:rPr>
                <w:rFonts w:ascii="宋体" w:hAnsi="宋体" w:cs="宋体"/>
                <w:bCs/>
                <w:szCs w:val="21"/>
                <w:highlight w:val="none"/>
              </w:rPr>
            </w:pPr>
            <w:r>
              <w:rPr>
                <w:rFonts w:hint="eastAsia" w:ascii="宋体" w:hAnsi="宋体" w:cs="宋体"/>
                <w:bCs/>
                <w:szCs w:val="21"/>
                <w:highlight w:val="none"/>
              </w:rPr>
              <w:t>（结构化产品）</w:t>
            </w:r>
          </w:p>
        </w:tc>
        <w:tc>
          <w:tcPr>
            <w:tcW w:w="7156" w:type="dxa"/>
            <w:tcBorders>
              <w:top w:val="single" w:color="auto" w:sz="4" w:space="0"/>
              <w:left w:val="single" w:color="auto" w:sz="4" w:space="0"/>
              <w:bottom w:val="single" w:color="auto" w:sz="4" w:space="0"/>
              <w:right w:val="single" w:color="auto" w:sz="4" w:space="0"/>
            </w:tcBorders>
            <w:vAlign w:val="center"/>
          </w:tcPr>
          <w:p w14:paraId="2E3E5DA9">
            <w:pPr>
              <w:adjustRightInd w:val="0"/>
              <w:snapToGrid w:val="0"/>
              <w:jc w:val="center"/>
              <w:rPr>
                <w:rFonts w:ascii="宋体" w:hAnsi="宋体" w:cs="宋体"/>
                <w:bCs/>
                <w:szCs w:val="21"/>
                <w:highlight w:val="none"/>
              </w:rPr>
            </w:pPr>
            <w:r>
              <w:rPr>
                <w:rFonts w:hint="eastAsia" w:ascii="宋体" w:hAnsi="宋体" w:cs="宋体"/>
                <w:bCs/>
                <w:szCs w:val="21"/>
                <w:highlight w:val="none"/>
              </w:rPr>
              <w:t>否</w:t>
            </w:r>
          </w:p>
        </w:tc>
      </w:tr>
      <w:tr w14:paraId="44EA5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97AA712">
            <w:pPr>
              <w:adjustRightInd w:val="0"/>
              <w:snapToGrid w:val="0"/>
              <w:jc w:val="center"/>
              <w:rPr>
                <w:rFonts w:ascii="宋体" w:hAnsi="宋体" w:cs="宋体"/>
                <w:bCs/>
                <w:szCs w:val="21"/>
                <w:highlight w:val="none"/>
              </w:rPr>
            </w:pPr>
            <w:r>
              <w:rPr>
                <w:rFonts w:hint="eastAsia" w:ascii="宋体" w:hAnsi="宋体" w:cs="宋体"/>
                <w:bCs/>
                <w:szCs w:val="21"/>
                <w:highlight w:val="none"/>
              </w:rPr>
              <w:t>投资范围</w:t>
            </w:r>
          </w:p>
        </w:tc>
        <w:tc>
          <w:tcPr>
            <w:tcW w:w="7156" w:type="dxa"/>
            <w:tcBorders>
              <w:top w:val="single" w:color="auto" w:sz="4" w:space="0"/>
              <w:left w:val="single" w:color="auto" w:sz="4" w:space="0"/>
              <w:bottom w:val="single" w:color="auto" w:sz="4" w:space="0"/>
              <w:right w:val="single" w:color="auto" w:sz="4" w:space="0"/>
            </w:tcBorders>
            <w:vAlign w:val="center"/>
          </w:tcPr>
          <w:p w14:paraId="689CE13E">
            <w:pPr>
              <w:adjustRightInd w:val="0"/>
              <w:snapToGrid w:val="0"/>
              <w:jc w:val="left"/>
              <w:rPr>
                <w:rFonts w:hint="eastAsia" w:ascii="宋体" w:hAnsi="宋体" w:eastAsia="宋体" w:cs="宋体"/>
                <w:bCs/>
                <w:szCs w:val="21"/>
                <w:highlight w:val="none"/>
                <w:lang w:val="en-US" w:eastAsia="zh-CN"/>
              </w:rPr>
            </w:pPr>
            <w:r>
              <w:rPr>
                <w:rFonts w:hint="eastAsia" w:ascii="宋体" w:hAnsi="宋体" w:cs="宋体"/>
                <w:bCs/>
                <w:szCs w:val="21"/>
                <w:highlight w:val="none"/>
              </w:rPr>
              <w:t>本计划的投资范围：</w:t>
            </w:r>
          </w:p>
          <w:p w14:paraId="10DA40D8">
            <w:pPr>
              <w:adjustRightInd w:val="0"/>
              <w:snapToGrid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（1）权益类资产：证券交易所发行上市的股票（包括但不限于新股申购、优先股、上市公司非公开发行股票等）、港股通标的范围内的股票；</w:t>
            </w:r>
          </w:p>
          <w:p w14:paraId="29EA53F4">
            <w:pPr>
              <w:adjustRightInd w:val="0"/>
              <w:snapToGrid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固定收益类资产：银行存款（包括但不限于定期存款、活期存款、协议存款、结构性存款及其他银行存款）、现金、证券交易所或银行间市场发行交易的债券、证券交易所或银行间市场发行交易的资产支持证券、银行间市场发行交易的资产支持票据、债券回购、同业存单；</w:t>
            </w:r>
          </w:p>
          <w:p w14:paraId="78D0249E">
            <w:pPr>
              <w:adjustRightInd w:val="0"/>
              <w:snapToGrid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（3）期货和衍生品类：证券交易所及期货交易所交易的期货和期权；</w:t>
            </w:r>
          </w:p>
          <w:p w14:paraId="72A8FFA5">
            <w:pPr>
              <w:adjustRightInd w:val="0"/>
              <w:snapToGrid w:val="0"/>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eastAsia="zh-CN"/>
              </w:rPr>
              <w:t>（4）资产管理产品类资产：公募基金。</w:t>
            </w:r>
          </w:p>
        </w:tc>
      </w:tr>
      <w:tr w14:paraId="6E6D6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579E12D">
            <w:pPr>
              <w:adjustRightInd w:val="0"/>
              <w:snapToGrid w:val="0"/>
              <w:jc w:val="center"/>
              <w:rPr>
                <w:rFonts w:hint="eastAsia" w:ascii="宋体" w:hAnsi="宋体" w:eastAsia="宋体" w:cs="宋体"/>
                <w:bCs/>
                <w:szCs w:val="21"/>
                <w:highlight w:val="none"/>
                <w:lang w:val="en-US" w:eastAsia="zh-CN"/>
              </w:rPr>
            </w:pPr>
            <w:r>
              <w:rPr>
                <w:rFonts w:hint="eastAsia" w:ascii="宋体" w:hAnsi="宋体" w:cs="宋体"/>
                <w:bCs/>
                <w:szCs w:val="21"/>
                <w:highlight w:val="none"/>
              </w:rPr>
              <w:t>投资</w:t>
            </w:r>
            <w:r>
              <w:rPr>
                <w:rFonts w:hint="eastAsia" w:ascii="宋体" w:hAnsi="宋体" w:cs="宋体"/>
                <w:bCs/>
                <w:szCs w:val="21"/>
                <w:highlight w:val="none"/>
                <w:lang w:val="en-US" w:eastAsia="zh-CN"/>
              </w:rPr>
              <w:t>比例</w:t>
            </w:r>
          </w:p>
        </w:tc>
        <w:tc>
          <w:tcPr>
            <w:tcW w:w="7156" w:type="dxa"/>
            <w:tcBorders>
              <w:top w:val="single" w:color="auto" w:sz="4" w:space="0"/>
              <w:left w:val="single" w:color="auto" w:sz="4" w:space="0"/>
              <w:bottom w:val="single" w:color="auto" w:sz="4" w:space="0"/>
              <w:right w:val="single" w:color="auto" w:sz="4" w:space="0"/>
            </w:tcBorders>
            <w:vAlign w:val="center"/>
          </w:tcPr>
          <w:p w14:paraId="645C37A8">
            <w:pPr>
              <w:adjustRightInd w:val="0"/>
              <w:snapToGrid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本计划投资于期货和衍生品类资产的持仓合约价值的比例（期货依合约价值、期权依合约面值，【非轧差】计算）绝对值合计不低于资产管理计划财产总值的80%，且期货和衍生品账户权益超过资产管理计划财产总值的20%；</w:t>
            </w:r>
          </w:p>
          <w:p w14:paraId="75351656">
            <w:pPr>
              <w:adjustRightInd w:val="0"/>
              <w:snapToGrid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2、本计划的计划资产总值占计划资产净值的比例不得超过200%；</w:t>
            </w:r>
          </w:p>
          <w:p w14:paraId="450BF2E3">
            <w:pPr>
              <w:adjustRightInd w:val="0"/>
              <w:snapToGrid w:val="0"/>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本计划投资于其他资产管理产品的，大类资产配置比例、总资产占净资产比例应当按照穿透原则合并计算</w:t>
            </w:r>
            <w:r>
              <w:rPr>
                <w:rFonts w:hint="eastAsia" w:ascii="宋体" w:hAnsi="宋体" w:cs="宋体"/>
                <w:bCs/>
                <w:sz w:val="21"/>
                <w:szCs w:val="21"/>
                <w:highlight w:val="none"/>
                <w:lang w:eastAsia="zh-CN"/>
              </w:rPr>
              <w:t>。</w:t>
            </w:r>
          </w:p>
        </w:tc>
      </w:tr>
      <w:tr w14:paraId="2874F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CD1AAB5">
            <w:pPr>
              <w:adjustRightInd w:val="0"/>
              <w:snapToGrid w:val="0"/>
              <w:jc w:val="center"/>
              <w:rPr>
                <w:rFonts w:ascii="宋体" w:hAnsi="宋体" w:cs="宋体"/>
                <w:bCs/>
                <w:szCs w:val="21"/>
                <w:highlight w:val="none"/>
              </w:rPr>
            </w:pPr>
            <w:r>
              <w:rPr>
                <w:rFonts w:hint="eastAsia" w:ascii="宋体" w:hAnsi="宋体" w:cs="宋体"/>
                <w:bCs/>
                <w:szCs w:val="21"/>
                <w:highlight w:val="none"/>
              </w:rPr>
              <w:t>投资限制</w:t>
            </w:r>
          </w:p>
        </w:tc>
        <w:tc>
          <w:tcPr>
            <w:tcW w:w="7156" w:type="dxa"/>
            <w:tcBorders>
              <w:top w:val="single" w:color="auto" w:sz="4" w:space="0"/>
              <w:left w:val="single" w:color="auto" w:sz="4" w:space="0"/>
              <w:bottom w:val="single" w:color="auto" w:sz="4" w:space="0"/>
              <w:right w:val="single" w:color="auto" w:sz="4" w:space="0"/>
            </w:tcBorders>
            <w:vAlign w:val="center"/>
          </w:tcPr>
          <w:p w14:paraId="692613C4">
            <w:pPr>
              <w:adjustRightInd w:val="0"/>
              <w:snapToGrid w:val="0"/>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1、按照穿透原则合并计算，本计划投资于同一资产的资金，不得超过计划资产净值的25%；银行活期存款、国债、中央银行票据、政策性金融债、地方政府债券等中国证监会认可的投资品种除外；</w:t>
            </w:r>
          </w:p>
          <w:p w14:paraId="1FFDEB94">
            <w:pPr>
              <w:adjustRightInd w:val="0"/>
              <w:snapToGrid w:val="0"/>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2、本计划管理人管理的全部集合资产管理计划投资于同一资产的资金，不得超过该资产的25%。银行活期存款、国债、中央银行票据、政策性金融债、地方政府债券等中国证监会认可的投资品种除外；</w:t>
            </w:r>
          </w:p>
          <w:p w14:paraId="38FD0AB0">
            <w:pPr>
              <w:adjustRightInd w:val="0"/>
              <w:snapToGrid w:val="0"/>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3、本计划投资于同一发行人及其关联方发行的债券的比例超过计划资产净值的50%的，本计划的计划资产总值占计划资产净值的比例不得超过120%。本计划投资于国债、中央银行票据、政策性金融债、地方政府债券等中国证监会认可的投资品种不受前述约定限制（托管人仅以现有能够获取的资讯数据为准进行监控，如与管理人数据存在不统一，以管理人提供数据及确认信息为准）；</w:t>
            </w:r>
          </w:p>
          <w:p w14:paraId="2345228E">
            <w:pPr>
              <w:adjustRightInd w:val="0"/>
              <w:snapToGrid w:val="0"/>
              <w:jc w:val="lef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4、本计划不得投资于城投债。</w:t>
            </w:r>
          </w:p>
        </w:tc>
      </w:tr>
      <w:tr w14:paraId="6A263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ABE56D9">
            <w:pPr>
              <w:adjustRightInd w:val="0"/>
              <w:snapToGrid w:val="0"/>
              <w:jc w:val="center"/>
              <w:rPr>
                <w:rFonts w:ascii="宋体" w:hAnsi="宋体" w:cs="宋体"/>
                <w:bCs/>
                <w:szCs w:val="21"/>
                <w:highlight w:val="none"/>
              </w:rPr>
            </w:pPr>
            <w:r>
              <w:rPr>
                <w:rFonts w:hint="eastAsia" w:ascii="宋体" w:hAnsi="宋体" w:cs="宋体"/>
                <w:bCs/>
                <w:szCs w:val="21"/>
                <w:highlight w:val="none"/>
              </w:rPr>
              <w:t>产品成立条件</w:t>
            </w:r>
          </w:p>
        </w:tc>
        <w:tc>
          <w:tcPr>
            <w:tcW w:w="7156" w:type="dxa"/>
            <w:tcBorders>
              <w:top w:val="single" w:color="auto" w:sz="4" w:space="0"/>
              <w:left w:val="single" w:color="auto" w:sz="4" w:space="0"/>
              <w:bottom w:val="single" w:color="auto" w:sz="4" w:space="0"/>
              <w:right w:val="single" w:color="auto" w:sz="4" w:space="0"/>
            </w:tcBorders>
            <w:vAlign w:val="center"/>
          </w:tcPr>
          <w:p w14:paraId="59EB6B4A">
            <w:pPr>
              <w:adjustRightInd w:val="0"/>
              <w:snapToGrid w:val="0"/>
              <w:jc w:val="left"/>
              <w:rPr>
                <w:rFonts w:ascii="宋体" w:hAnsi="宋体" w:cs="宋体"/>
                <w:bCs/>
                <w:szCs w:val="21"/>
                <w:highlight w:val="none"/>
              </w:rPr>
            </w:pPr>
            <w:r>
              <w:rPr>
                <w:rFonts w:hint="eastAsia" w:ascii="宋体" w:hAnsi="宋体" w:cs="宋体"/>
                <w:bCs/>
                <w:szCs w:val="21"/>
                <w:highlight w:val="none"/>
              </w:rPr>
              <w:t>1、本资产管理计划的初始募集规模不得低于1000万元。</w:t>
            </w:r>
          </w:p>
          <w:p w14:paraId="7D8320ED">
            <w:pPr>
              <w:adjustRightInd w:val="0"/>
              <w:snapToGrid w:val="0"/>
              <w:jc w:val="left"/>
              <w:rPr>
                <w:rFonts w:hint="eastAsia" w:ascii="宋体" w:hAnsi="宋体" w:eastAsia="宋体" w:cs="宋体"/>
                <w:bCs/>
                <w:kern w:val="2"/>
                <w:szCs w:val="21"/>
                <w:highlight w:val="none"/>
                <w:lang w:eastAsia="zh-CN"/>
              </w:rPr>
            </w:pPr>
            <w:r>
              <w:rPr>
                <w:rFonts w:hint="eastAsia" w:ascii="宋体" w:hAnsi="宋体" w:cs="宋体"/>
                <w:bCs/>
                <w:szCs w:val="21"/>
                <w:highlight w:val="none"/>
              </w:rPr>
              <w:t>2、本集合资产管理计划的投资者人数不少于二人，不得超过二百人。</w:t>
            </w:r>
          </w:p>
        </w:tc>
      </w:tr>
      <w:tr w14:paraId="18924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B94E82F">
            <w:pPr>
              <w:adjustRightInd w:val="0"/>
              <w:snapToGrid w:val="0"/>
              <w:jc w:val="center"/>
              <w:rPr>
                <w:rFonts w:ascii="宋体" w:hAnsi="宋体" w:cs="宋体"/>
                <w:bCs/>
                <w:szCs w:val="21"/>
                <w:highlight w:val="none"/>
              </w:rPr>
            </w:pPr>
            <w:r>
              <w:rPr>
                <w:rFonts w:hint="eastAsia" w:ascii="宋体" w:hAnsi="宋体" w:cs="宋体"/>
                <w:bCs/>
                <w:szCs w:val="21"/>
                <w:highlight w:val="none"/>
                <w:lang w:val="en-US" w:eastAsia="zh-CN"/>
              </w:rPr>
              <w:t>认购/</w:t>
            </w:r>
            <w:r>
              <w:rPr>
                <w:rFonts w:hint="eastAsia" w:ascii="宋体" w:hAnsi="宋体" w:cs="宋体"/>
                <w:bCs/>
                <w:szCs w:val="21"/>
                <w:highlight w:val="none"/>
              </w:rPr>
              <w:t>参与费用</w:t>
            </w:r>
          </w:p>
        </w:tc>
        <w:tc>
          <w:tcPr>
            <w:tcW w:w="7156" w:type="dxa"/>
            <w:tcBorders>
              <w:top w:val="single" w:color="auto" w:sz="4" w:space="0"/>
              <w:left w:val="single" w:color="auto" w:sz="4" w:space="0"/>
              <w:bottom w:val="single" w:color="auto" w:sz="4" w:space="0"/>
              <w:right w:val="single" w:color="auto" w:sz="4" w:space="0"/>
            </w:tcBorders>
            <w:vAlign w:val="center"/>
          </w:tcPr>
          <w:p w14:paraId="01FB8920">
            <w:pPr>
              <w:adjustRightInd w:val="0"/>
              <w:snapToGri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无</w:t>
            </w:r>
          </w:p>
        </w:tc>
      </w:tr>
      <w:tr w14:paraId="010AF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185B7DA">
            <w:pPr>
              <w:adjustRightInd w:val="0"/>
              <w:snapToGrid w:val="0"/>
              <w:jc w:val="center"/>
              <w:rPr>
                <w:rFonts w:ascii="宋体" w:hAnsi="宋体" w:cs="宋体"/>
                <w:bCs/>
                <w:szCs w:val="21"/>
                <w:highlight w:val="none"/>
              </w:rPr>
            </w:pPr>
            <w:r>
              <w:rPr>
                <w:rFonts w:hint="eastAsia" w:ascii="宋体" w:hAnsi="宋体" w:cs="宋体"/>
                <w:bCs/>
                <w:szCs w:val="21"/>
                <w:highlight w:val="none"/>
                <w:lang w:val="en-US" w:eastAsia="zh-CN"/>
              </w:rPr>
              <w:t>赎回</w:t>
            </w:r>
            <w:r>
              <w:rPr>
                <w:rFonts w:hint="eastAsia" w:ascii="宋体" w:hAnsi="宋体" w:cs="宋体"/>
                <w:bCs/>
                <w:szCs w:val="21"/>
                <w:highlight w:val="none"/>
              </w:rPr>
              <w:t>费用</w:t>
            </w:r>
          </w:p>
        </w:tc>
        <w:tc>
          <w:tcPr>
            <w:tcW w:w="7156" w:type="dxa"/>
            <w:tcBorders>
              <w:top w:val="single" w:color="auto" w:sz="4" w:space="0"/>
              <w:left w:val="single" w:color="auto" w:sz="4" w:space="0"/>
              <w:bottom w:val="single" w:color="auto" w:sz="4" w:space="0"/>
              <w:right w:val="single" w:color="auto" w:sz="4" w:space="0"/>
            </w:tcBorders>
            <w:vAlign w:val="center"/>
          </w:tcPr>
          <w:p w14:paraId="4A6F5149">
            <w:pPr>
              <w:adjustRightInd w:val="0"/>
              <w:snapToGrid w:val="0"/>
              <w:jc w:val="center"/>
              <w:rPr>
                <w:rFonts w:hint="default" w:ascii="宋体" w:hAnsi="宋体" w:cs="宋体"/>
                <w:bCs/>
                <w:szCs w:val="21"/>
                <w:highlight w:val="none"/>
                <w:lang w:val="en-US"/>
              </w:rPr>
            </w:pPr>
            <w:r>
              <w:rPr>
                <w:rFonts w:hint="eastAsia" w:ascii="宋体" w:hAnsi="宋体" w:cs="宋体"/>
                <w:bCs/>
                <w:color w:val="000000"/>
                <w:sz w:val="21"/>
                <w:szCs w:val="21"/>
                <w:highlight w:val="none"/>
                <w:lang w:val="en-US" w:eastAsia="zh-CN"/>
              </w:rPr>
              <w:t>无</w:t>
            </w:r>
          </w:p>
        </w:tc>
      </w:tr>
      <w:tr w14:paraId="6313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2C29D1D">
            <w:pPr>
              <w:adjustRightInd w:val="0"/>
              <w:snapToGrid w:val="0"/>
              <w:jc w:val="center"/>
              <w:rPr>
                <w:rFonts w:ascii="宋体" w:hAnsi="宋体" w:cs="宋体"/>
                <w:bCs/>
                <w:szCs w:val="21"/>
                <w:highlight w:val="none"/>
              </w:rPr>
            </w:pPr>
            <w:r>
              <w:rPr>
                <w:rFonts w:hint="eastAsia" w:ascii="宋体" w:hAnsi="宋体" w:cs="宋体"/>
                <w:bCs/>
                <w:szCs w:val="21"/>
                <w:highlight w:val="none"/>
              </w:rPr>
              <w:t>管理费</w:t>
            </w:r>
          </w:p>
        </w:tc>
        <w:tc>
          <w:tcPr>
            <w:tcW w:w="7156" w:type="dxa"/>
            <w:tcBorders>
              <w:top w:val="single" w:color="auto" w:sz="4" w:space="0"/>
              <w:left w:val="single" w:color="auto" w:sz="4" w:space="0"/>
              <w:bottom w:val="single" w:color="auto" w:sz="4" w:space="0"/>
              <w:right w:val="single" w:color="auto" w:sz="4" w:space="0"/>
            </w:tcBorders>
            <w:vAlign w:val="center"/>
          </w:tcPr>
          <w:p w14:paraId="09042D68">
            <w:pPr>
              <w:adjustRightInd w:val="0"/>
              <w:snapToGrid w:val="0"/>
              <w:jc w:val="center"/>
              <w:rPr>
                <w:rFonts w:hint="eastAsia" w:ascii="宋体" w:hAnsi="宋体" w:cs="宋体"/>
                <w:bCs/>
                <w:szCs w:val="21"/>
                <w:highlight w:val="none"/>
              </w:rPr>
            </w:pPr>
            <w:r>
              <w:rPr>
                <w:rFonts w:hint="eastAsia" w:ascii="宋体" w:hAnsi="宋体" w:cs="宋体"/>
                <w:bCs/>
                <w:szCs w:val="21"/>
                <w:highlight w:val="none"/>
                <w:lang w:val="en-US" w:eastAsia="zh-CN"/>
              </w:rPr>
              <w:t>1.5</w:t>
            </w:r>
            <w:r>
              <w:rPr>
                <w:rFonts w:hint="eastAsia" w:ascii="宋体" w:hAnsi="宋体" w:cs="宋体"/>
                <w:bCs/>
                <w:szCs w:val="21"/>
                <w:highlight w:val="none"/>
              </w:rPr>
              <w:t>%/年</w:t>
            </w:r>
          </w:p>
        </w:tc>
      </w:tr>
      <w:tr w14:paraId="024FE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BA7B77D">
            <w:pPr>
              <w:adjustRightInd w:val="0"/>
              <w:snapToGrid w:val="0"/>
              <w:jc w:val="center"/>
              <w:rPr>
                <w:rFonts w:ascii="宋体" w:hAnsi="宋体" w:cs="宋体"/>
                <w:bCs/>
                <w:szCs w:val="21"/>
                <w:highlight w:val="none"/>
              </w:rPr>
            </w:pPr>
            <w:r>
              <w:rPr>
                <w:rFonts w:hint="eastAsia" w:ascii="宋体" w:hAnsi="宋体" w:cs="宋体"/>
                <w:bCs/>
                <w:szCs w:val="21"/>
                <w:highlight w:val="none"/>
              </w:rPr>
              <w:t>托管费</w:t>
            </w:r>
          </w:p>
        </w:tc>
        <w:tc>
          <w:tcPr>
            <w:tcW w:w="7156" w:type="dxa"/>
            <w:tcBorders>
              <w:top w:val="single" w:color="auto" w:sz="4" w:space="0"/>
              <w:left w:val="single" w:color="auto" w:sz="4" w:space="0"/>
              <w:bottom w:val="single" w:color="auto" w:sz="4" w:space="0"/>
              <w:right w:val="single" w:color="auto" w:sz="4" w:space="0"/>
            </w:tcBorders>
            <w:vAlign w:val="center"/>
          </w:tcPr>
          <w:p w14:paraId="1076A75D">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0.0</w:t>
            </w:r>
            <w:r>
              <w:rPr>
                <w:rFonts w:hint="eastAsia" w:ascii="宋体" w:hAnsi="宋体" w:cs="宋体"/>
                <w:bCs/>
                <w:szCs w:val="21"/>
                <w:highlight w:val="none"/>
                <w:lang w:val="en-US" w:eastAsia="zh-CN"/>
              </w:rPr>
              <w:t>075</w:t>
            </w:r>
            <w:r>
              <w:rPr>
                <w:rFonts w:hint="eastAsia" w:ascii="宋体" w:hAnsi="宋体" w:cs="宋体"/>
                <w:bCs/>
                <w:szCs w:val="21"/>
                <w:highlight w:val="none"/>
              </w:rPr>
              <w:t>%/年</w:t>
            </w:r>
          </w:p>
        </w:tc>
      </w:tr>
      <w:tr w14:paraId="4B9D7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1347F50">
            <w:pPr>
              <w:adjustRightInd w:val="0"/>
              <w:snapToGrid w:val="0"/>
              <w:jc w:val="center"/>
              <w:rPr>
                <w:rFonts w:ascii="宋体" w:hAnsi="宋体" w:cs="宋体"/>
                <w:bCs/>
                <w:szCs w:val="21"/>
                <w:highlight w:val="none"/>
              </w:rPr>
            </w:pPr>
            <w:r>
              <w:rPr>
                <w:rFonts w:hint="eastAsia" w:ascii="宋体" w:hAnsi="宋体" w:cs="宋体"/>
                <w:bCs/>
                <w:szCs w:val="21"/>
                <w:highlight w:val="none"/>
              </w:rPr>
              <w:t>运营服务费</w:t>
            </w:r>
          </w:p>
        </w:tc>
        <w:tc>
          <w:tcPr>
            <w:tcW w:w="7156" w:type="dxa"/>
            <w:tcBorders>
              <w:top w:val="single" w:color="auto" w:sz="4" w:space="0"/>
              <w:left w:val="single" w:color="auto" w:sz="4" w:space="0"/>
              <w:bottom w:val="single" w:color="auto" w:sz="4" w:space="0"/>
              <w:right w:val="single" w:color="auto" w:sz="4" w:space="0"/>
            </w:tcBorders>
            <w:vAlign w:val="center"/>
          </w:tcPr>
          <w:p w14:paraId="1C419388">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0.0</w:t>
            </w:r>
            <w:r>
              <w:rPr>
                <w:rFonts w:hint="eastAsia" w:ascii="宋体" w:hAnsi="宋体" w:cs="宋体"/>
                <w:bCs/>
                <w:szCs w:val="21"/>
                <w:highlight w:val="none"/>
                <w:lang w:val="en-US" w:eastAsia="zh-CN"/>
              </w:rPr>
              <w:t>075</w:t>
            </w:r>
            <w:r>
              <w:rPr>
                <w:rFonts w:hint="eastAsia" w:ascii="宋体" w:hAnsi="宋体" w:cs="宋体"/>
                <w:bCs/>
                <w:szCs w:val="21"/>
                <w:highlight w:val="none"/>
              </w:rPr>
              <w:t>%/年</w:t>
            </w:r>
          </w:p>
        </w:tc>
      </w:tr>
      <w:tr w14:paraId="40C65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53906AF">
            <w:pPr>
              <w:adjustRightInd w:val="0"/>
              <w:snapToGrid w:val="0"/>
              <w:jc w:val="center"/>
              <w:rPr>
                <w:rFonts w:ascii="宋体" w:hAnsi="宋体" w:cs="宋体"/>
                <w:bCs/>
                <w:szCs w:val="21"/>
                <w:highlight w:val="none"/>
              </w:rPr>
            </w:pPr>
            <w:r>
              <w:rPr>
                <w:rFonts w:hint="eastAsia" w:ascii="宋体" w:hAnsi="宋体" w:cs="宋体"/>
                <w:bCs/>
                <w:szCs w:val="21"/>
                <w:highlight w:val="none"/>
              </w:rPr>
              <w:t>预警线</w:t>
            </w:r>
          </w:p>
        </w:tc>
        <w:tc>
          <w:tcPr>
            <w:tcW w:w="7156" w:type="dxa"/>
            <w:tcBorders>
              <w:top w:val="single" w:color="auto" w:sz="4" w:space="0"/>
              <w:left w:val="single" w:color="auto" w:sz="4" w:space="0"/>
              <w:bottom w:val="single" w:color="auto" w:sz="4" w:space="0"/>
              <w:right w:val="single" w:color="auto" w:sz="4" w:space="0"/>
            </w:tcBorders>
            <w:vAlign w:val="center"/>
          </w:tcPr>
          <w:p w14:paraId="09298B0E">
            <w:pPr>
              <w:adjustRightInd w:val="0"/>
              <w:snapToGri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rPr>
              <w:t>份额净值为0.</w:t>
            </w:r>
            <w:r>
              <w:rPr>
                <w:rFonts w:hint="eastAsia" w:ascii="宋体" w:hAnsi="宋体" w:cs="宋体"/>
                <w:bCs/>
                <w:szCs w:val="21"/>
                <w:highlight w:val="none"/>
                <w:lang w:val="en-US" w:eastAsia="zh-CN"/>
              </w:rPr>
              <w:t>55</w:t>
            </w:r>
          </w:p>
        </w:tc>
      </w:tr>
      <w:tr w14:paraId="5B8BC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36E3B97">
            <w:pPr>
              <w:adjustRightInd w:val="0"/>
              <w:snapToGrid w:val="0"/>
              <w:jc w:val="center"/>
              <w:rPr>
                <w:rFonts w:ascii="宋体" w:hAnsi="宋体" w:cs="宋体"/>
                <w:bCs/>
                <w:szCs w:val="21"/>
                <w:highlight w:val="none"/>
              </w:rPr>
            </w:pPr>
            <w:r>
              <w:rPr>
                <w:rFonts w:hint="eastAsia" w:ascii="宋体" w:hAnsi="宋体" w:cs="宋体"/>
                <w:bCs/>
                <w:szCs w:val="21"/>
                <w:highlight w:val="none"/>
              </w:rPr>
              <w:t>清盘线</w:t>
            </w:r>
          </w:p>
        </w:tc>
        <w:tc>
          <w:tcPr>
            <w:tcW w:w="7156" w:type="dxa"/>
            <w:tcBorders>
              <w:top w:val="single" w:color="auto" w:sz="4" w:space="0"/>
              <w:left w:val="single" w:color="auto" w:sz="4" w:space="0"/>
              <w:bottom w:val="single" w:color="auto" w:sz="4" w:space="0"/>
              <w:right w:val="single" w:color="auto" w:sz="4" w:space="0"/>
            </w:tcBorders>
            <w:vAlign w:val="center"/>
          </w:tcPr>
          <w:p w14:paraId="4970E851">
            <w:pPr>
              <w:adjustRightInd w:val="0"/>
              <w:snapToGri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rPr>
              <w:t>份额净值为0.</w:t>
            </w:r>
            <w:r>
              <w:rPr>
                <w:rFonts w:hint="eastAsia" w:ascii="宋体" w:hAnsi="宋体" w:cs="宋体"/>
                <w:bCs/>
                <w:szCs w:val="21"/>
                <w:highlight w:val="none"/>
                <w:lang w:val="en-US" w:eastAsia="zh-CN"/>
              </w:rPr>
              <w:t>50</w:t>
            </w:r>
          </w:p>
        </w:tc>
      </w:tr>
      <w:tr w14:paraId="35031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3080BC2">
            <w:pPr>
              <w:adjustRightInd w:val="0"/>
              <w:snapToGrid w:val="0"/>
              <w:jc w:val="center"/>
              <w:rPr>
                <w:rFonts w:ascii="宋体" w:hAnsi="宋体" w:cs="宋体"/>
                <w:bCs/>
                <w:szCs w:val="21"/>
                <w:highlight w:val="none"/>
              </w:rPr>
            </w:pPr>
            <w:r>
              <w:rPr>
                <w:rFonts w:hint="eastAsia" w:ascii="宋体" w:hAnsi="宋体" w:cs="宋体"/>
                <w:bCs/>
                <w:szCs w:val="21"/>
                <w:highlight w:val="none"/>
              </w:rPr>
              <w:t>收益分配</w:t>
            </w:r>
          </w:p>
        </w:tc>
        <w:tc>
          <w:tcPr>
            <w:tcW w:w="7156" w:type="dxa"/>
            <w:tcBorders>
              <w:top w:val="single" w:color="auto" w:sz="4" w:space="0"/>
              <w:left w:val="single" w:color="auto" w:sz="4" w:space="0"/>
              <w:bottom w:val="single" w:color="auto" w:sz="4" w:space="0"/>
              <w:right w:val="single" w:color="auto" w:sz="4" w:space="0"/>
            </w:tcBorders>
            <w:vAlign w:val="center"/>
          </w:tcPr>
          <w:p w14:paraId="2219422C">
            <w:pPr>
              <w:adjustRightInd w:val="0"/>
              <w:snapToGrid w:val="0"/>
              <w:jc w:val="left"/>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业绩报酬：</w:t>
            </w:r>
          </w:p>
          <w:p w14:paraId="0C597B93">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产品收益在</w:t>
            </w:r>
            <w:r>
              <w:rPr>
                <w:rFonts w:hint="eastAsia" w:ascii="宋体" w:hAnsi="宋体" w:cs="宋体"/>
                <w:bCs/>
                <w:szCs w:val="21"/>
                <w:highlight w:val="none"/>
                <w:lang w:val="en-US" w:eastAsia="zh-CN"/>
              </w:rPr>
              <w:t>40</w:t>
            </w:r>
            <w:r>
              <w:rPr>
                <w:rFonts w:hint="eastAsia" w:ascii="宋体" w:hAnsi="宋体" w:cs="宋体"/>
                <w:bCs/>
                <w:szCs w:val="21"/>
                <w:highlight w:val="none"/>
              </w:rPr>
              <w:t>%以下</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含40%</w:t>
            </w:r>
            <w:r>
              <w:rPr>
                <w:rFonts w:hint="eastAsia" w:ascii="宋体" w:hAnsi="宋体" w:cs="宋体"/>
                <w:bCs/>
                <w:szCs w:val="21"/>
                <w:highlight w:val="none"/>
                <w:lang w:eastAsia="zh-CN"/>
              </w:rPr>
              <w:t>），</w:t>
            </w:r>
            <w:r>
              <w:rPr>
                <w:rFonts w:hint="eastAsia" w:ascii="宋体" w:hAnsi="宋体" w:cs="宋体"/>
                <w:bCs/>
                <w:szCs w:val="21"/>
                <w:highlight w:val="none"/>
              </w:rPr>
              <w:t>管理人就该区间收益</w:t>
            </w:r>
            <w:r>
              <w:rPr>
                <w:rFonts w:hint="eastAsia" w:ascii="宋体" w:hAnsi="宋体" w:cs="宋体"/>
                <w:bCs/>
                <w:szCs w:val="21"/>
                <w:highlight w:val="none"/>
                <w:lang w:eastAsia="zh-CN"/>
              </w:rPr>
              <w:t>不</w:t>
            </w:r>
            <w:r>
              <w:rPr>
                <w:rFonts w:hint="eastAsia" w:ascii="宋体" w:hAnsi="宋体" w:cs="宋体"/>
                <w:bCs/>
                <w:szCs w:val="21"/>
                <w:highlight w:val="none"/>
              </w:rPr>
              <w:t>提取业绩报酬；</w:t>
            </w:r>
          </w:p>
          <w:p w14:paraId="5E3AAA67">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产品收益</w:t>
            </w:r>
            <w:r>
              <w:rPr>
                <w:rFonts w:hint="eastAsia" w:ascii="宋体" w:hAnsi="宋体" w:cs="宋体"/>
                <w:bCs/>
                <w:szCs w:val="21"/>
                <w:highlight w:val="none"/>
                <w:lang w:val="en-US" w:eastAsia="zh-CN"/>
              </w:rPr>
              <w:t>40</w:t>
            </w:r>
            <w:r>
              <w:rPr>
                <w:rFonts w:hint="eastAsia" w:ascii="宋体" w:hAnsi="宋体" w:cs="宋体"/>
                <w:bCs/>
                <w:szCs w:val="21"/>
                <w:highlight w:val="none"/>
              </w:rPr>
              <w:t>%以上</w:t>
            </w:r>
            <w:r>
              <w:rPr>
                <w:rFonts w:hint="eastAsia" w:ascii="宋体" w:hAnsi="宋体" w:cs="宋体"/>
                <w:bCs/>
                <w:szCs w:val="21"/>
                <w:highlight w:val="none"/>
                <w:lang w:eastAsia="zh-CN"/>
              </w:rPr>
              <w:t>，</w:t>
            </w:r>
            <w:r>
              <w:rPr>
                <w:rFonts w:hint="eastAsia" w:ascii="宋体" w:hAnsi="宋体" w:cs="宋体"/>
                <w:bCs/>
                <w:szCs w:val="21"/>
                <w:highlight w:val="none"/>
              </w:rPr>
              <w:t>管理人就该区间收益提取</w:t>
            </w:r>
            <w:r>
              <w:rPr>
                <w:rFonts w:hint="eastAsia" w:ascii="宋体" w:hAnsi="宋体" w:cs="宋体"/>
                <w:bCs/>
                <w:szCs w:val="21"/>
                <w:highlight w:val="none"/>
                <w:lang w:val="en-US" w:eastAsia="zh-CN"/>
              </w:rPr>
              <w:t>2</w:t>
            </w:r>
            <w:r>
              <w:rPr>
                <w:rFonts w:hint="eastAsia" w:ascii="宋体" w:hAnsi="宋体" w:cs="宋体"/>
                <w:bCs/>
                <w:szCs w:val="21"/>
                <w:highlight w:val="none"/>
              </w:rPr>
              <w:t>0%作为业绩报酬；</w:t>
            </w:r>
          </w:p>
          <w:p w14:paraId="47B6AEE9">
            <w:pPr>
              <w:adjustRightInd w:val="0"/>
              <w:snapToGrid w:val="0"/>
              <w:jc w:val="left"/>
              <w:rPr>
                <w:rFonts w:hint="eastAsia" w:ascii="宋体" w:hAnsi="宋体" w:cs="宋体"/>
                <w:bCs/>
                <w:szCs w:val="21"/>
                <w:highlight w:val="none"/>
              </w:rPr>
            </w:pPr>
            <w:bookmarkStart w:id="0" w:name="_GoBack"/>
            <w:bookmarkEnd w:id="0"/>
            <w:r>
              <w:rPr>
                <w:rFonts w:hint="eastAsia" w:ascii="宋体" w:hAnsi="宋体" w:cs="宋体"/>
                <w:bCs/>
                <w:szCs w:val="21"/>
                <w:highlight w:val="none"/>
              </w:rPr>
              <w:t>1、本计划的收益分配可以采取【现金分红或红利再投资等方式】，【红利再投资是将现金红利按照计划分红除权日的计划份额净值自动转为计划份额】,本计划默认的收益分配方式为【红利再投资】，具体的分配方式以管理人的分红方案为准；</w:t>
            </w:r>
          </w:p>
          <w:p w14:paraId="63ED269F">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2、计划收益分配后计划份额净值不能低于面值；即计划收益分配基准日的计划份额净值减去每单位计划份额收益分配金额后不能低于面值；</w:t>
            </w:r>
          </w:p>
          <w:p w14:paraId="5D0F311A">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3、本计划存续期内每6个月最多分红【1】次，实际收益分配比例、分配次数、分配时间和分配金额由管理人确定；</w:t>
            </w:r>
          </w:p>
          <w:p w14:paraId="315B4E63">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4、每一计划份额享有同等分配权；</w:t>
            </w:r>
          </w:p>
          <w:p w14:paraId="2466245B">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5、收益分配时所发生的银行转账或其他手续费用由委托人自行承担；</w:t>
            </w:r>
          </w:p>
          <w:p w14:paraId="1D2C8C03">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6、法律法规或监管机关另有规定的，从其规定。</w:t>
            </w:r>
          </w:p>
        </w:tc>
      </w:tr>
    </w:tbl>
    <w:p w14:paraId="0DE12D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DkzMjllOGI1NDhmOTljYTY2Yzg5Yjk3OTkxMjYifQ=="/>
    <w:docVar w:name="KSO_WPS_MARK_KEY" w:val="44ad3104-a03d-4b11-a3db-e4c6c06da8b7"/>
  </w:docVars>
  <w:rsids>
    <w:rsidRoot w:val="001E3F27"/>
    <w:rsid w:val="000028B4"/>
    <w:rsid w:val="00012CED"/>
    <w:rsid w:val="00016A9E"/>
    <w:rsid w:val="0002683A"/>
    <w:rsid w:val="000276D8"/>
    <w:rsid w:val="00040945"/>
    <w:rsid w:val="000A6074"/>
    <w:rsid w:val="000A6589"/>
    <w:rsid w:val="000D1524"/>
    <w:rsid w:val="000E15FC"/>
    <w:rsid w:val="000E756F"/>
    <w:rsid w:val="000F4EAF"/>
    <w:rsid w:val="00116C0B"/>
    <w:rsid w:val="001D2311"/>
    <w:rsid w:val="001E3F27"/>
    <w:rsid w:val="001E5E04"/>
    <w:rsid w:val="001F0F9A"/>
    <w:rsid w:val="001F3DB8"/>
    <w:rsid w:val="002271F5"/>
    <w:rsid w:val="00262276"/>
    <w:rsid w:val="0028114E"/>
    <w:rsid w:val="002A0498"/>
    <w:rsid w:val="002B275C"/>
    <w:rsid w:val="002F0040"/>
    <w:rsid w:val="00331F01"/>
    <w:rsid w:val="00346B6B"/>
    <w:rsid w:val="003F1A33"/>
    <w:rsid w:val="003F3C3A"/>
    <w:rsid w:val="0041438D"/>
    <w:rsid w:val="00420139"/>
    <w:rsid w:val="00446AFD"/>
    <w:rsid w:val="00487777"/>
    <w:rsid w:val="00496D57"/>
    <w:rsid w:val="004E5080"/>
    <w:rsid w:val="0052474A"/>
    <w:rsid w:val="00570311"/>
    <w:rsid w:val="005A1B96"/>
    <w:rsid w:val="005C4BE6"/>
    <w:rsid w:val="005E5028"/>
    <w:rsid w:val="006119CC"/>
    <w:rsid w:val="0063665D"/>
    <w:rsid w:val="0069104E"/>
    <w:rsid w:val="006A0E59"/>
    <w:rsid w:val="006A3978"/>
    <w:rsid w:val="006C5FC6"/>
    <w:rsid w:val="006E0E25"/>
    <w:rsid w:val="00712BD8"/>
    <w:rsid w:val="007208F0"/>
    <w:rsid w:val="00730CE9"/>
    <w:rsid w:val="00743BF9"/>
    <w:rsid w:val="00781941"/>
    <w:rsid w:val="0078299C"/>
    <w:rsid w:val="007867B4"/>
    <w:rsid w:val="007D598B"/>
    <w:rsid w:val="007E0E18"/>
    <w:rsid w:val="00811E94"/>
    <w:rsid w:val="00830651"/>
    <w:rsid w:val="00853336"/>
    <w:rsid w:val="00856AE0"/>
    <w:rsid w:val="00875F56"/>
    <w:rsid w:val="00883CB9"/>
    <w:rsid w:val="008A5142"/>
    <w:rsid w:val="008E742F"/>
    <w:rsid w:val="00910171"/>
    <w:rsid w:val="00923162"/>
    <w:rsid w:val="00935FB8"/>
    <w:rsid w:val="00983E4F"/>
    <w:rsid w:val="00A00D0D"/>
    <w:rsid w:val="00A0593E"/>
    <w:rsid w:val="00A10FC4"/>
    <w:rsid w:val="00A17AEA"/>
    <w:rsid w:val="00A33B68"/>
    <w:rsid w:val="00A6165C"/>
    <w:rsid w:val="00AA6303"/>
    <w:rsid w:val="00AE0F61"/>
    <w:rsid w:val="00AF043E"/>
    <w:rsid w:val="00AF1048"/>
    <w:rsid w:val="00B21764"/>
    <w:rsid w:val="00B30A24"/>
    <w:rsid w:val="00B42D10"/>
    <w:rsid w:val="00B71882"/>
    <w:rsid w:val="00B83958"/>
    <w:rsid w:val="00C16159"/>
    <w:rsid w:val="00C257E4"/>
    <w:rsid w:val="00C64D2E"/>
    <w:rsid w:val="00C77E5B"/>
    <w:rsid w:val="00D05E5C"/>
    <w:rsid w:val="00D115E1"/>
    <w:rsid w:val="00D15F29"/>
    <w:rsid w:val="00D30FC6"/>
    <w:rsid w:val="00D81CE0"/>
    <w:rsid w:val="00DA2BDF"/>
    <w:rsid w:val="00DA507B"/>
    <w:rsid w:val="00DB6D1F"/>
    <w:rsid w:val="00DB7ABD"/>
    <w:rsid w:val="00DC15DE"/>
    <w:rsid w:val="00DC55CB"/>
    <w:rsid w:val="00DE0870"/>
    <w:rsid w:val="00DF1F1D"/>
    <w:rsid w:val="00E26D47"/>
    <w:rsid w:val="00E6107A"/>
    <w:rsid w:val="00E77D20"/>
    <w:rsid w:val="00E8019A"/>
    <w:rsid w:val="00EC20CC"/>
    <w:rsid w:val="00ED361C"/>
    <w:rsid w:val="00ED3E77"/>
    <w:rsid w:val="00F23F39"/>
    <w:rsid w:val="00F2559F"/>
    <w:rsid w:val="00F3133D"/>
    <w:rsid w:val="00F32382"/>
    <w:rsid w:val="00F63B6E"/>
    <w:rsid w:val="00FA592A"/>
    <w:rsid w:val="00FA7AE6"/>
    <w:rsid w:val="00FB2F03"/>
    <w:rsid w:val="00FC2ED1"/>
    <w:rsid w:val="00FD1991"/>
    <w:rsid w:val="00FD2A9C"/>
    <w:rsid w:val="00FF2963"/>
    <w:rsid w:val="02B24544"/>
    <w:rsid w:val="06C40F48"/>
    <w:rsid w:val="070620A5"/>
    <w:rsid w:val="077E68AD"/>
    <w:rsid w:val="09472159"/>
    <w:rsid w:val="0A755C84"/>
    <w:rsid w:val="0AB75EBC"/>
    <w:rsid w:val="0BA230E3"/>
    <w:rsid w:val="0C821426"/>
    <w:rsid w:val="0E05634A"/>
    <w:rsid w:val="0FD537A2"/>
    <w:rsid w:val="10A006BB"/>
    <w:rsid w:val="11820F1B"/>
    <w:rsid w:val="11AC3AD1"/>
    <w:rsid w:val="128C4C27"/>
    <w:rsid w:val="12F4199E"/>
    <w:rsid w:val="14797A65"/>
    <w:rsid w:val="148F625A"/>
    <w:rsid w:val="14CD4406"/>
    <w:rsid w:val="159A0645"/>
    <w:rsid w:val="15E741FC"/>
    <w:rsid w:val="175932C8"/>
    <w:rsid w:val="17E63B9D"/>
    <w:rsid w:val="18EF6C0A"/>
    <w:rsid w:val="1A503868"/>
    <w:rsid w:val="1BE64DB5"/>
    <w:rsid w:val="1E8322D9"/>
    <w:rsid w:val="21712B5E"/>
    <w:rsid w:val="225C2276"/>
    <w:rsid w:val="2297396E"/>
    <w:rsid w:val="23D075EC"/>
    <w:rsid w:val="24DF67F2"/>
    <w:rsid w:val="26314B83"/>
    <w:rsid w:val="26A06475"/>
    <w:rsid w:val="28113F07"/>
    <w:rsid w:val="2A1469FD"/>
    <w:rsid w:val="2CAD5364"/>
    <w:rsid w:val="2D26451D"/>
    <w:rsid w:val="2DF01F26"/>
    <w:rsid w:val="2FE855A3"/>
    <w:rsid w:val="302E4812"/>
    <w:rsid w:val="31B36DC8"/>
    <w:rsid w:val="333F61FF"/>
    <w:rsid w:val="33802817"/>
    <w:rsid w:val="36185975"/>
    <w:rsid w:val="37C3489C"/>
    <w:rsid w:val="38663882"/>
    <w:rsid w:val="38A946FD"/>
    <w:rsid w:val="38BA7701"/>
    <w:rsid w:val="394D08C8"/>
    <w:rsid w:val="39C53CB3"/>
    <w:rsid w:val="3A626ADA"/>
    <w:rsid w:val="3AD85622"/>
    <w:rsid w:val="3B574BD4"/>
    <w:rsid w:val="3B9F463D"/>
    <w:rsid w:val="3C6D68C9"/>
    <w:rsid w:val="3D7738BB"/>
    <w:rsid w:val="3DC70A36"/>
    <w:rsid w:val="3E586323"/>
    <w:rsid w:val="40AE40B7"/>
    <w:rsid w:val="42064276"/>
    <w:rsid w:val="4273467D"/>
    <w:rsid w:val="43437DB7"/>
    <w:rsid w:val="438C1F5E"/>
    <w:rsid w:val="4524392A"/>
    <w:rsid w:val="453D2AB0"/>
    <w:rsid w:val="45D05C27"/>
    <w:rsid w:val="48EB461E"/>
    <w:rsid w:val="49610528"/>
    <w:rsid w:val="4B124303"/>
    <w:rsid w:val="4CDD0876"/>
    <w:rsid w:val="4E0E7971"/>
    <w:rsid w:val="502F0380"/>
    <w:rsid w:val="506F1A49"/>
    <w:rsid w:val="50FF38A7"/>
    <w:rsid w:val="513F7643"/>
    <w:rsid w:val="530E6634"/>
    <w:rsid w:val="533F0066"/>
    <w:rsid w:val="548608CF"/>
    <w:rsid w:val="560532F5"/>
    <w:rsid w:val="580F3A7E"/>
    <w:rsid w:val="593B0B75"/>
    <w:rsid w:val="5B79480E"/>
    <w:rsid w:val="5C5446FA"/>
    <w:rsid w:val="5C672B0E"/>
    <w:rsid w:val="5CA82E51"/>
    <w:rsid w:val="5CC7250C"/>
    <w:rsid w:val="5F9F5331"/>
    <w:rsid w:val="609F2A3D"/>
    <w:rsid w:val="62881C5A"/>
    <w:rsid w:val="655C6FBC"/>
    <w:rsid w:val="66130EF8"/>
    <w:rsid w:val="66420FBC"/>
    <w:rsid w:val="67464D64"/>
    <w:rsid w:val="692C23BD"/>
    <w:rsid w:val="69BF506E"/>
    <w:rsid w:val="6A2115D9"/>
    <w:rsid w:val="6B325FF1"/>
    <w:rsid w:val="6CD3433C"/>
    <w:rsid w:val="6D0979B9"/>
    <w:rsid w:val="6E9B56C4"/>
    <w:rsid w:val="6EBC2E27"/>
    <w:rsid w:val="723A6E32"/>
    <w:rsid w:val="72E14D30"/>
    <w:rsid w:val="73FF4863"/>
    <w:rsid w:val="74594779"/>
    <w:rsid w:val="753D694A"/>
    <w:rsid w:val="756802F7"/>
    <w:rsid w:val="75C02153"/>
    <w:rsid w:val="765728B4"/>
    <w:rsid w:val="77286D88"/>
    <w:rsid w:val="78394630"/>
    <w:rsid w:val="7ADA5FE7"/>
    <w:rsid w:val="7C344531"/>
    <w:rsid w:val="7C701FB9"/>
    <w:rsid w:val="7CAB60B1"/>
    <w:rsid w:val="7E467185"/>
    <w:rsid w:val="7EDE28DD"/>
    <w:rsid w:val="7FA90B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0"/>
    <w:pPr>
      <w:jc w:val="left"/>
    </w:pPr>
  </w:style>
  <w:style w:type="paragraph" w:styleId="6">
    <w:name w:val="Balloon Text"/>
    <w:basedOn w:val="1"/>
    <w:link w:val="25"/>
    <w:autoRedefine/>
    <w:semiHidden/>
    <w:unhideWhenUsed/>
    <w:qFormat/>
    <w:uiPriority w:val="99"/>
    <w:rPr>
      <w:sz w:val="18"/>
      <w:szCs w:val="18"/>
    </w:rPr>
  </w:style>
  <w:style w:type="paragraph" w:styleId="7">
    <w:name w:val="footer"/>
    <w:basedOn w:val="1"/>
    <w:link w:val="22"/>
    <w:autoRedefine/>
    <w:unhideWhenUsed/>
    <w:qFormat/>
    <w:uiPriority w:val="99"/>
    <w:pPr>
      <w:tabs>
        <w:tab w:val="center" w:pos="4153"/>
        <w:tab w:val="right" w:pos="8306"/>
      </w:tabs>
      <w:snapToGrid w:val="0"/>
      <w:jc w:val="left"/>
    </w:pPr>
    <w:rPr>
      <w:sz w:val="18"/>
      <w:szCs w:val="18"/>
    </w:rPr>
  </w:style>
  <w:style w:type="paragraph" w:styleId="8">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8"/>
    <w:autoRedefine/>
    <w:qFormat/>
    <w:uiPriority w:val="10"/>
    <w:pPr>
      <w:spacing w:before="240" w:after="60"/>
      <w:jc w:val="center"/>
      <w:outlineLvl w:val="0"/>
    </w:pPr>
    <w:rPr>
      <w:rFonts w:asciiTheme="majorHAnsi" w:hAnsiTheme="majorHAnsi" w:cstheme="majorBidi"/>
      <w:b/>
      <w:bCs/>
      <w:sz w:val="32"/>
      <w:szCs w:val="32"/>
    </w:rPr>
  </w:style>
  <w:style w:type="paragraph" w:styleId="10">
    <w:name w:val="annotation subject"/>
    <w:basedOn w:val="5"/>
    <w:next w:val="5"/>
    <w:link w:val="24"/>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unhideWhenUsed/>
    <w:qFormat/>
    <w:uiPriority w:val="0"/>
    <w:rPr>
      <w:sz w:val="21"/>
      <w:szCs w:val="21"/>
    </w:rPr>
  </w:style>
  <w:style w:type="character" w:customStyle="1" w:styleId="15">
    <w:name w:val="标题 1 Char"/>
    <w:basedOn w:val="13"/>
    <w:link w:val="2"/>
    <w:autoRedefine/>
    <w:qFormat/>
    <w:uiPriority w:val="9"/>
    <w:rPr>
      <w:b/>
      <w:bCs/>
      <w:kern w:val="44"/>
      <w:sz w:val="44"/>
      <w:szCs w:val="44"/>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标题 3 Char"/>
    <w:basedOn w:val="13"/>
    <w:link w:val="4"/>
    <w:autoRedefine/>
    <w:qFormat/>
    <w:uiPriority w:val="9"/>
    <w:rPr>
      <w:b/>
      <w:bCs/>
      <w:sz w:val="32"/>
      <w:szCs w:val="32"/>
    </w:rPr>
  </w:style>
  <w:style w:type="character" w:customStyle="1" w:styleId="18">
    <w:name w:val="标题 Char"/>
    <w:basedOn w:val="13"/>
    <w:link w:val="9"/>
    <w:autoRedefine/>
    <w:qFormat/>
    <w:uiPriority w:val="10"/>
    <w:rPr>
      <w:rFonts w:eastAsia="宋体" w:asciiTheme="majorHAnsi" w:hAnsiTheme="majorHAnsi" w:cstheme="majorBidi"/>
      <w:b/>
      <w:bCs/>
      <w:sz w:val="32"/>
      <w:szCs w:val="32"/>
    </w:r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0">
    <w:name w:val="List Paragraph"/>
    <w:basedOn w:val="1"/>
    <w:autoRedefine/>
    <w:qFormat/>
    <w:uiPriority w:val="34"/>
    <w:pPr>
      <w:ind w:firstLine="420" w:firstLineChars="200"/>
    </w:pPr>
  </w:style>
  <w:style w:type="character" w:customStyle="1" w:styleId="21">
    <w:name w:val="页眉 Char"/>
    <w:basedOn w:val="13"/>
    <w:link w:val="8"/>
    <w:autoRedefine/>
    <w:qFormat/>
    <w:uiPriority w:val="99"/>
    <w:rPr>
      <w:rFonts w:ascii="Times New Roman" w:hAnsi="Times New Roman" w:eastAsia="宋体" w:cs="Times New Roman"/>
      <w:sz w:val="18"/>
      <w:szCs w:val="18"/>
    </w:rPr>
  </w:style>
  <w:style w:type="character" w:customStyle="1" w:styleId="22">
    <w:name w:val="页脚 Char"/>
    <w:basedOn w:val="13"/>
    <w:link w:val="7"/>
    <w:autoRedefine/>
    <w:qFormat/>
    <w:uiPriority w:val="99"/>
    <w:rPr>
      <w:rFonts w:ascii="Times New Roman" w:hAnsi="Times New Roman" w:eastAsia="宋体" w:cs="Times New Roman"/>
      <w:sz w:val="18"/>
      <w:szCs w:val="18"/>
    </w:rPr>
  </w:style>
  <w:style w:type="character" w:customStyle="1" w:styleId="23">
    <w:name w:val="批注文字 Char"/>
    <w:basedOn w:val="13"/>
    <w:link w:val="5"/>
    <w:autoRedefine/>
    <w:qFormat/>
    <w:uiPriority w:val="0"/>
    <w:rPr>
      <w:kern w:val="2"/>
      <w:sz w:val="21"/>
      <w:szCs w:val="24"/>
    </w:rPr>
  </w:style>
  <w:style w:type="character" w:customStyle="1" w:styleId="24">
    <w:name w:val="批注主题 Char"/>
    <w:basedOn w:val="23"/>
    <w:link w:val="10"/>
    <w:autoRedefine/>
    <w:semiHidden/>
    <w:qFormat/>
    <w:uiPriority w:val="99"/>
    <w:rPr>
      <w:b/>
      <w:bCs/>
      <w:kern w:val="2"/>
      <w:sz w:val="21"/>
      <w:szCs w:val="24"/>
    </w:rPr>
  </w:style>
  <w:style w:type="character" w:customStyle="1" w:styleId="25">
    <w:name w:val="批注框文本 Char"/>
    <w:basedOn w:val="13"/>
    <w:link w:val="6"/>
    <w:autoRedefine/>
    <w:semiHidden/>
    <w:qFormat/>
    <w:uiPriority w:val="99"/>
    <w:rPr>
      <w:kern w:val="2"/>
      <w:sz w:val="18"/>
      <w:szCs w:val="18"/>
    </w:rPr>
  </w:style>
  <w:style w:type="paragraph" w:customStyle="1" w:styleId="26">
    <w:name w:val="列出段落1"/>
    <w:basedOn w:val="1"/>
    <w:autoRedefine/>
    <w:qFormat/>
    <w:uiPriority w:val="0"/>
    <w:pPr>
      <w:ind w:firstLine="420" w:firstLineChars="200"/>
    </w:pPr>
    <w:rPr>
      <w:rFonts w:ascii="Calibri" w:hAnsi="Calibri"/>
    </w:rPr>
  </w:style>
  <w:style w:type="paragraph" w:customStyle="1" w:styleId="27">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7109-55AF-4A80-80DE-64E5D167B4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1809</Words>
  <Characters>1875</Characters>
  <Lines>11</Lines>
  <Paragraphs>3</Paragraphs>
  <TotalTime>0</TotalTime>
  <ScaleCrop>false</ScaleCrop>
  <LinksUpToDate>false</LinksUpToDate>
  <CharactersWithSpaces>1877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2020-04-07T02:49:00Z</dcterms:created>
  <dc:creator>陈乐。</dc:creator>
  <cp:lastModifiedBy>小静</cp:lastModifiedBy>
  <cp:lastPrinted>2021-09-09T08:20:00Z</cp:lastPrinted>
  <dcterms:modified xsi:type="dcterms:W3CDTF">2024-08-02T08:13:49Z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B1C42817A4CB42E6957A7C027C5258C6</vt:lpwstr>
  </property>
</Properties>
</file>