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156"/>
      </w:tblGrid>
      <w:tr w14:paraId="58A3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35769B7">
            <w:pPr>
              <w:adjustRightInd w:val="0"/>
              <w:snapToGrid w:val="0"/>
              <w:jc w:val="center"/>
              <w:rPr>
                <w:rFonts w:ascii="宋体" w:hAnsi="宋体" w:cs="宋体"/>
                <w:bCs/>
                <w:szCs w:val="21"/>
                <w:highlight w:val="none"/>
              </w:rPr>
            </w:pPr>
            <w:r>
              <w:rPr>
                <w:rFonts w:hint="eastAsia" w:ascii="宋体" w:hAnsi="宋体" w:cs="宋体"/>
                <w:bCs/>
                <w:szCs w:val="21"/>
                <w:highlight w:val="none"/>
              </w:rPr>
              <w:t>产品名称</w:t>
            </w:r>
          </w:p>
        </w:tc>
        <w:tc>
          <w:tcPr>
            <w:tcW w:w="7156" w:type="dxa"/>
            <w:tcBorders>
              <w:top w:val="single" w:color="auto" w:sz="4" w:space="0"/>
              <w:left w:val="single" w:color="auto" w:sz="4" w:space="0"/>
              <w:bottom w:val="single" w:color="auto" w:sz="4" w:space="0"/>
              <w:right w:val="single" w:color="auto" w:sz="4" w:space="0"/>
            </w:tcBorders>
            <w:vAlign w:val="center"/>
          </w:tcPr>
          <w:p w14:paraId="643580E7">
            <w:pPr>
              <w:adjustRightInd w:val="0"/>
              <w:snapToGrid w:val="0"/>
              <w:jc w:val="center"/>
              <w:rPr>
                <w:rFonts w:ascii="宋体" w:hAnsi="宋体" w:cs="宋体"/>
                <w:bCs/>
                <w:szCs w:val="21"/>
                <w:highlight w:val="none"/>
              </w:rPr>
            </w:pPr>
            <w:r>
              <w:rPr>
                <w:rFonts w:hint="eastAsia" w:ascii="宋体" w:hAnsi="宋体" w:cs="宋体"/>
                <w:bCs/>
                <w:szCs w:val="21"/>
                <w:highlight w:val="none"/>
              </w:rPr>
              <w:t>瑞达期货-</w:t>
            </w:r>
            <w:r>
              <w:rPr>
                <w:rFonts w:hint="eastAsia" w:ascii="宋体" w:hAnsi="宋体" w:cs="宋体"/>
                <w:bCs/>
                <w:szCs w:val="21"/>
                <w:highlight w:val="none"/>
                <w:lang w:val="en-US" w:eastAsia="zh-CN"/>
              </w:rPr>
              <w:t>灯塔领航1</w:t>
            </w:r>
            <w:r>
              <w:rPr>
                <w:rFonts w:hint="eastAsia" w:ascii="宋体" w:hAnsi="宋体" w:cs="宋体"/>
                <w:bCs/>
                <w:szCs w:val="21"/>
                <w:highlight w:val="none"/>
              </w:rPr>
              <w:t>号集合资产管理计划</w:t>
            </w:r>
          </w:p>
        </w:tc>
      </w:tr>
      <w:tr w14:paraId="56808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A4F0753">
            <w:pPr>
              <w:adjustRightInd w:val="0"/>
              <w:snapToGrid w:val="0"/>
              <w:jc w:val="center"/>
              <w:rPr>
                <w:rFonts w:ascii="宋体" w:hAnsi="宋体" w:cs="宋体"/>
                <w:bCs/>
                <w:szCs w:val="21"/>
                <w:highlight w:val="none"/>
              </w:rPr>
            </w:pPr>
            <w:r>
              <w:rPr>
                <w:rFonts w:hint="eastAsia" w:ascii="宋体" w:hAnsi="宋体" w:cs="宋体"/>
                <w:bCs/>
                <w:szCs w:val="21"/>
                <w:highlight w:val="none"/>
              </w:rPr>
              <w:t>产品预编码</w:t>
            </w:r>
          </w:p>
        </w:tc>
        <w:tc>
          <w:tcPr>
            <w:tcW w:w="7156" w:type="dxa"/>
            <w:tcBorders>
              <w:top w:val="single" w:color="auto" w:sz="4" w:space="0"/>
              <w:left w:val="single" w:color="auto" w:sz="4" w:space="0"/>
              <w:bottom w:val="single" w:color="auto" w:sz="4" w:space="0"/>
              <w:right w:val="single" w:color="auto" w:sz="4" w:space="0"/>
            </w:tcBorders>
            <w:vAlign w:val="center"/>
          </w:tcPr>
          <w:p w14:paraId="755F1C65">
            <w:pPr>
              <w:adjustRightInd w:val="0"/>
              <w:snapToGrid w:val="0"/>
              <w:jc w:val="center"/>
              <w:rPr>
                <w:rFonts w:ascii="宋体" w:hAnsi="宋体" w:cs="宋体"/>
                <w:bCs/>
                <w:szCs w:val="21"/>
                <w:highlight w:val="none"/>
              </w:rPr>
            </w:pPr>
            <w:r>
              <w:rPr>
                <w:rFonts w:hint="eastAsia" w:ascii="宋体" w:hAnsi="宋体" w:cs="宋体"/>
                <w:bCs/>
                <w:szCs w:val="21"/>
                <w:highlight w:val="none"/>
              </w:rPr>
              <w:t>SVP220</w:t>
            </w:r>
          </w:p>
        </w:tc>
      </w:tr>
      <w:tr w14:paraId="7ED15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7F89B7D">
            <w:pPr>
              <w:adjustRightInd w:val="0"/>
              <w:snapToGrid w:val="0"/>
              <w:jc w:val="center"/>
              <w:rPr>
                <w:rFonts w:ascii="宋体" w:hAnsi="宋体" w:cs="宋体"/>
                <w:bCs/>
                <w:szCs w:val="21"/>
                <w:highlight w:val="none"/>
              </w:rPr>
            </w:pPr>
            <w:r>
              <w:rPr>
                <w:rFonts w:hint="eastAsia" w:ascii="宋体" w:hAnsi="宋体" w:cs="宋体"/>
                <w:bCs/>
                <w:szCs w:val="21"/>
                <w:highlight w:val="none"/>
              </w:rPr>
              <w:t>管理人</w:t>
            </w:r>
          </w:p>
        </w:tc>
        <w:tc>
          <w:tcPr>
            <w:tcW w:w="7156" w:type="dxa"/>
            <w:tcBorders>
              <w:top w:val="single" w:color="auto" w:sz="4" w:space="0"/>
              <w:left w:val="single" w:color="auto" w:sz="4" w:space="0"/>
              <w:bottom w:val="single" w:color="auto" w:sz="4" w:space="0"/>
              <w:right w:val="single" w:color="auto" w:sz="4" w:space="0"/>
            </w:tcBorders>
            <w:vAlign w:val="center"/>
          </w:tcPr>
          <w:p w14:paraId="1B30AAEB">
            <w:pPr>
              <w:adjustRightInd w:val="0"/>
              <w:snapToGrid w:val="0"/>
              <w:jc w:val="center"/>
              <w:rPr>
                <w:rFonts w:ascii="宋体" w:hAnsi="宋体" w:cs="宋体"/>
                <w:bCs/>
                <w:szCs w:val="21"/>
                <w:highlight w:val="none"/>
              </w:rPr>
            </w:pPr>
            <w:r>
              <w:rPr>
                <w:rFonts w:hint="eastAsia" w:ascii="宋体" w:hAnsi="宋体" w:cs="宋体"/>
                <w:bCs/>
                <w:szCs w:val="21"/>
                <w:highlight w:val="none"/>
              </w:rPr>
              <w:t>瑞达期货股份有限公司</w:t>
            </w:r>
          </w:p>
        </w:tc>
      </w:tr>
      <w:tr w14:paraId="618EE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60ACF69">
            <w:pPr>
              <w:adjustRightInd w:val="0"/>
              <w:snapToGrid w:val="0"/>
              <w:jc w:val="center"/>
              <w:rPr>
                <w:rFonts w:ascii="宋体" w:hAnsi="宋体" w:cs="宋体"/>
                <w:bCs/>
                <w:szCs w:val="21"/>
                <w:highlight w:val="none"/>
              </w:rPr>
            </w:pPr>
            <w:r>
              <w:rPr>
                <w:rFonts w:hint="eastAsia" w:ascii="宋体" w:hAnsi="宋体" w:cs="宋体"/>
                <w:bCs/>
                <w:szCs w:val="21"/>
                <w:highlight w:val="none"/>
              </w:rPr>
              <w:t>基金管理人组织形式</w:t>
            </w:r>
          </w:p>
        </w:tc>
        <w:tc>
          <w:tcPr>
            <w:tcW w:w="7156" w:type="dxa"/>
            <w:tcBorders>
              <w:top w:val="single" w:color="auto" w:sz="4" w:space="0"/>
              <w:left w:val="single" w:color="auto" w:sz="4" w:space="0"/>
              <w:bottom w:val="single" w:color="auto" w:sz="4" w:space="0"/>
              <w:right w:val="single" w:color="auto" w:sz="4" w:space="0"/>
            </w:tcBorders>
            <w:vAlign w:val="center"/>
          </w:tcPr>
          <w:p w14:paraId="76AF2AB0">
            <w:pPr>
              <w:adjustRightInd w:val="0"/>
              <w:snapToGrid w:val="0"/>
              <w:jc w:val="center"/>
              <w:rPr>
                <w:rFonts w:ascii="宋体" w:hAnsi="宋体" w:cs="宋体"/>
                <w:bCs/>
                <w:szCs w:val="21"/>
                <w:highlight w:val="none"/>
              </w:rPr>
            </w:pPr>
            <w:r>
              <w:rPr>
                <w:rFonts w:hint="eastAsia" w:ascii="宋体" w:hAnsi="宋体" w:cs="宋体"/>
                <w:bCs/>
                <w:szCs w:val="21"/>
                <w:highlight w:val="none"/>
              </w:rPr>
              <w:t>股份制</w:t>
            </w:r>
          </w:p>
        </w:tc>
      </w:tr>
      <w:tr w14:paraId="78ABA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9C9BDEC">
            <w:pPr>
              <w:adjustRightInd w:val="0"/>
              <w:snapToGrid w:val="0"/>
              <w:jc w:val="center"/>
              <w:rPr>
                <w:rFonts w:ascii="宋体" w:hAnsi="宋体" w:cs="宋体"/>
                <w:bCs/>
                <w:szCs w:val="21"/>
                <w:highlight w:val="none"/>
              </w:rPr>
            </w:pPr>
            <w:r>
              <w:rPr>
                <w:rFonts w:hint="eastAsia" w:ascii="宋体" w:hAnsi="宋体" w:cs="宋体"/>
                <w:bCs/>
                <w:szCs w:val="21"/>
                <w:highlight w:val="none"/>
              </w:rPr>
              <w:t>基金管理人备案信息</w:t>
            </w:r>
          </w:p>
        </w:tc>
        <w:tc>
          <w:tcPr>
            <w:tcW w:w="7156" w:type="dxa"/>
            <w:tcBorders>
              <w:top w:val="single" w:color="auto" w:sz="4" w:space="0"/>
              <w:left w:val="single" w:color="auto" w:sz="4" w:space="0"/>
              <w:bottom w:val="single" w:color="auto" w:sz="4" w:space="0"/>
              <w:right w:val="single" w:color="auto" w:sz="4" w:space="0"/>
            </w:tcBorders>
            <w:vAlign w:val="center"/>
          </w:tcPr>
          <w:p w14:paraId="25272298">
            <w:pPr>
              <w:adjustRightInd w:val="0"/>
              <w:snapToGrid w:val="0"/>
              <w:jc w:val="center"/>
              <w:rPr>
                <w:rFonts w:ascii="宋体" w:hAnsi="宋体" w:cs="宋体"/>
                <w:bCs/>
                <w:szCs w:val="21"/>
                <w:highlight w:val="none"/>
              </w:rPr>
            </w:pPr>
            <w:r>
              <w:rPr>
                <w:rFonts w:hint="eastAsia" w:ascii="宋体" w:hAnsi="宋体" w:cs="宋体"/>
                <w:bCs/>
                <w:szCs w:val="21"/>
                <w:highlight w:val="none"/>
              </w:rPr>
              <w:t>中国证监会颁发证监许可（2012）1722号文件核准瑞达期货股份有限公司资产管理业务资格</w:t>
            </w:r>
          </w:p>
        </w:tc>
      </w:tr>
      <w:tr w14:paraId="09456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6E171E39">
            <w:pPr>
              <w:adjustRightInd w:val="0"/>
              <w:snapToGrid w:val="0"/>
              <w:jc w:val="center"/>
              <w:rPr>
                <w:rFonts w:ascii="宋体" w:hAnsi="宋体" w:cs="宋体"/>
                <w:bCs/>
                <w:szCs w:val="21"/>
                <w:highlight w:val="none"/>
              </w:rPr>
            </w:pPr>
            <w:r>
              <w:rPr>
                <w:rFonts w:hint="eastAsia" w:ascii="宋体" w:hAnsi="宋体" w:cs="宋体"/>
                <w:bCs/>
                <w:szCs w:val="21"/>
                <w:highlight w:val="none"/>
              </w:rPr>
              <w:t>基金托管人</w:t>
            </w:r>
          </w:p>
        </w:tc>
        <w:tc>
          <w:tcPr>
            <w:tcW w:w="7156" w:type="dxa"/>
            <w:tcBorders>
              <w:top w:val="single" w:color="auto" w:sz="4" w:space="0"/>
              <w:left w:val="single" w:color="auto" w:sz="4" w:space="0"/>
              <w:bottom w:val="single" w:color="auto" w:sz="4" w:space="0"/>
              <w:right w:val="single" w:color="auto" w:sz="4" w:space="0"/>
            </w:tcBorders>
            <w:vAlign w:val="center"/>
          </w:tcPr>
          <w:p w14:paraId="276E2758">
            <w:pPr>
              <w:adjustRightInd w:val="0"/>
              <w:snapToGrid w:val="0"/>
              <w:jc w:val="center"/>
              <w:rPr>
                <w:rFonts w:ascii="宋体" w:hAnsi="宋体" w:cs="宋体"/>
                <w:bCs/>
                <w:szCs w:val="21"/>
                <w:highlight w:val="none"/>
              </w:rPr>
            </w:pPr>
            <w:r>
              <w:rPr>
                <w:rFonts w:hint="eastAsia" w:ascii="宋体" w:hAnsi="宋体" w:cs="宋体"/>
                <w:bCs/>
                <w:szCs w:val="21"/>
                <w:highlight w:val="none"/>
              </w:rPr>
              <w:t>国泰君安证券股份有限公司</w:t>
            </w:r>
          </w:p>
        </w:tc>
      </w:tr>
      <w:tr w14:paraId="2B1E1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F05BFB6">
            <w:pPr>
              <w:adjustRightInd w:val="0"/>
              <w:snapToGrid w:val="0"/>
              <w:jc w:val="center"/>
              <w:rPr>
                <w:rFonts w:ascii="宋体" w:hAnsi="宋体" w:cs="宋体"/>
                <w:bCs/>
                <w:szCs w:val="21"/>
                <w:highlight w:val="none"/>
              </w:rPr>
            </w:pPr>
            <w:r>
              <w:rPr>
                <w:rFonts w:hint="eastAsia" w:ascii="宋体" w:hAnsi="宋体" w:cs="宋体"/>
                <w:bCs/>
                <w:szCs w:val="21"/>
                <w:highlight w:val="none"/>
              </w:rPr>
              <w:t>投资顾问</w:t>
            </w:r>
          </w:p>
        </w:tc>
        <w:tc>
          <w:tcPr>
            <w:tcW w:w="7156" w:type="dxa"/>
            <w:tcBorders>
              <w:top w:val="single" w:color="auto" w:sz="4" w:space="0"/>
              <w:left w:val="single" w:color="auto" w:sz="4" w:space="0"/>
              <w:bottom w:val="single" w:color="auto" w:sz="4" w:space="0"/>
              <w:right w:val="single" w:color="auto" w:sz="4" w:space="0"/>
            </w:tcBorders>
            <w:vAlign w:val="center"/>
          </w:tcPr>
          <w:p w14:paraId="4071B39C">
            <w:pPr>
              <w:adjustRightInd w:val="0"/>
              <w:snapToGrid w:val="0"/>
              <w:jc w:val="center"/>
              <w:rPr>
                <w:rFonts w:ascii="宋体" w:hAnsi="宋体" w:cs="宋体"/>
                <w:bCs/>
                <w:szCs w:val="21"/>
                <w:highlight w:val="none"/>
              </w:rPr>
            </w:pPr>
            <w:r>
              <w:rPr>
                <w:rFonts w:hint="eastAsia" w:ascii="宋体" w:hAnsi="宋体" w:cs="宋体"/>
                <w:bCs/>
                <w:szCs w:val="21"/>
                <w:highlight w:val="none"/>
              </w:rPr>
              <w:t>我司自主管理产品，无投资顾问</w:t>
            </w:r>
          </w:p>
        </w:tc>
      </w:tr>
      <w:tr w14:paraId="54CB1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50D5BB6">
            <w:pPr>
              <w:adjustRightInd w:val="0"/>
              <w:snapToGrid w:val="0"/>
              <w:jc w:val="center"/>
              <w:rPr>
                <w:rFonts w:ascii="宋体" w:hAnsi="宋体" w:cs="宋体"/>
                <w:bCs/>
                <w:szCs w:val="21"/>
                <w:highlight w:val="none"/>
              </w:rPr>
            </w:pPr>
            <w:r>
              <w:rPr>
                <w:rFonts w:hint="eastAsia" w:ascii="宋体" w:hAnsi="宋体" w:cs="宋体"/>
                <w:bCs/>
                <w:szCs w:val="21"/>
                <w:highlight w:val="none"/>
              </w:rPr>
              <w:t>投资经理</w:t>
            </w:r>
          </w:p>
        </w:tc>
        <w:tc>
          <w:tcPr>
            <w:tcW w:w="7156" w:type="dxa"/>
            <w:tcBorders>
              <w:top w:val="single" w:color="auto" w:sz="4" w:space="0"/>
              <w:left w:val="single" w:color="auto" w:sz="4" w:space="0"/>
              <w:bottom w:val="single" w:color="auto" w:sz="4" w:space="0"/>
              <w:right w:val="single" w:color="auto" w:sz="4" w:space="0"/>
            </w:tcBorders>
            <w:vAlign w:val="center"/>
          </w:tcPr>
          <w:p w14:paraId="28365126">
            <w:pPr>
              <w:adjustRightInd w:val="0"/>
              <w:snapToGrid w:val="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林华</w:t>
            </w:r>
          </w:p>
        </w:tc>
      </w:tr>
      <w:tr w14:paraId="1A464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8A5F675">
            <w:pPr>
              <w:adjustRightInd w:val="0"/>
              <w:snapToGrid w:val="0"/>
              <w:jc w:val="center"/>
              <w:rPr>
                <w:rFonts w:ascii="宋体" w:hAnsi="宋体" w:cs="宋体"/>
                <w:bCs/>
                <w:szCs w:val="21"/>
                <w:highlight w:val="none"/>
              </w:rPr>
            </w:pPr>
            <w:r>
              <w:rPr>
                <w:rFonts w:hint="eastAsia" w:ascii="宋体" w:hAnsi="宋体" w:cs="宋体"/>
                <w:bCs/>
                <w:szCs w:val="21"/>
                <w:highlight w:val="none"/>
              </w:rPr>
              <w:t>产品类型</w:t>
            </w:r>
          </w:p>
        </w:tc>
        <w:tc>
          <w:tcPr>
            <w:tcW w:w="7156" w:type="dxa"/>
            <w:tcBorders>
              <w:top w:val="single" w:color="auto" w:sz="4" w:space="0"/>
              <w:left w:val="single" w:color="auto" w:sz="4" w:space="0"/>
              <w:bottom w:val="single" w:color="auto" w:sz="4" w:space="0"/>
              <w:right w:val="single" w:color="auto" w:sz="4" w:space="0"/>
            </w:tcBorders>
            <w:vAlign w:val="center"/>
          </w:tcPr>
          <w:p w14:paraId="671307C0">
            <w:pPr>
              <w:adjustRightInd w:val="0"/>
              <w:snapToGrid w:val="0"/>
              <w:jc w:val="center"/>
              <w:rPr>
                <w:rFonts w:ascii="宋体" w:hAnsi="宋体" w:cs="宋体"/>
                <w:bCs/>
                <w:szCs w:val="21"/>
                <w:highlight w:val="none"/>
              </w:rPr>
            </w:pPr>
            <w:r>
              <w:rPr>
                <w:rFonts w:hint="eastAsia" w:ascii="宋体" w:hAnsi="宋体" w:cs="宋体"/>
                <w:bCs/>
                <w:szCs w:val="21"/>
                <w:highlight w:val="none"/>
              </w:rPr>
              <w:t>商品及金融衍生品</w:t>
            </w:r>
          </w:p>
        </w:tc>
      </w:tr>
      <w:tr w14:paraId="404DB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0058F30">
            <w:pPr>
              <w:adjustRightInd w:val="0"/>
              <w:snapToGrid w:val="0"/>
              <w:jc w:val="center"/>
              <w:rPr>
                <w:rFonts w:ascii="宋体" w:hAnsi="宋体" w:cs="宋体"/>
                <w:bCs/>
                <w:szCs w:val="21"/>
                <w:highlight w:val="none"/>
              </w:rPr>
            </w:pPr>
            <w:r>
              <w:rPr>
                <w:rFonts w:hint="eastAsia" w:ascii="宋体" w:hAnsi="宋体" w:cs="宋体"/>
                <w:bCs/>
                <w:szCs w:val="21"/>
                <w:highlight w:val="none"/>
              </w:rPr>
              <w:t>产品类别</w:t>
            </w:r>
          </w:p>
        </w:tc>
        <w:tc>
          <w:tcPr>
            <w:tcW w:w="7156" w:type="dxa"/>
            <w:tcBorders>
              <w:top w:val="single" w:color="auto" w:sz="4" w:space="0"/>
              <w:left w:val="single" w:color="auto" w:sz="4" w:space="0"/>
              <w:bottom w:val="single" w:color="auto" w:sz="4" w:space="0"/>
              <w:right w:val="single" w:color="auto" w:sz="4" w:space="0"/>
            </w:tcBorders>
            <w:vAlign w:val="center"/>
          </w:tcPr>
          <w:p w14:paraId="1B0FC9AC">
            <w:pPr>
              <w:adjustRightInd w:val="0"/>
              <w:snapToGrid w:val="0"/>
              <w:jc w:val="center"/>
              <w:rPr>
                <w:rFonts w:ascii="宋体" w:hAnsi="宋体" w:cs="宋体"/>
                <w:bCs/>
                <w:szCs w:val="21"/>
                <w:highlight w:val="none"/>
              </w:rPr>
            </w:pPr>
            <w:r>
              <w:rPr>
                <w:rFonts w:hint="eastAsia" w:ascii="宋体" w:hAnsi="宋体" w:cs="宋体"/>
                <w:bCs/>
                <w:szCs w:val="21"/>
                <w:highlight w:val="none"/>
              </w:rPr>
              <w:t>期货公司商品及金融衍生品类</w:t>
            </w:r>
          </w:p>
        </w:tc>
      </w:tr>
      <w:tr w14:paraId="12F66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05D9C98">
            <w:pPr>
              <w:adjustRightInd w:val="0"/>
              <w:snapToGrid w:val="0"/>
              <w:jc w:val="center"/>
              <w:rPr>
                <w:rFonts w:ascii="宋体" w:hAnsi="宋体" w:cs="宋体"/>
                <w:bCs/>
                <w:szCs w:val="21"/>
                <w:highlight w:val="none"/>
              </w:rPr>
            </w:pPr>
            <w:r>
              <w:rPr>
                <w:rFonts w:hint="eastAsia" w:ascii="宋体" w:hAnsi="宋体" w:cs="宋体"/>
                <w:bCs/>
                <w:szCs w:val="21"/>
                <w:highlight w:val="none"/>
              </w:rPr>
              <w:t>风险收益特征</w:t>
            </w:r>
          </w:p>
        </w:tc>
        <w:tc>
          <w:tcPr>
            <w:tcW w:w="7156" w:type="dxa"/>
            <w:tcBorders>
              <w:top w:val="single" w:color="auto" w:sz="4" w:space="0"/>
              <w:left w:val="single" w:color="auto" w:sz="4" w:space="0"/>
              <w:bottom w:val="single" w:color="auto" w:sz="4" w:space="0"/>
              <w:right w:val="single" w:color="auto" w:sz="4" w:space="0"/>
            </w:tcBorders>
            <w:vAlign w:val="center"/>
          </w:tcPr>
          <w:p w14:paraId="67153962">
            <w:pPr>
              <w:adjustRightInd w:val="0"/>
              <w:snapToGrid w:val="0"/>
              <w:rPr>
                <w:rFonts w:ascii="宋体" w:hAnsi="宋体" w:cs="宋体"/>
                <w:bCs/>
                <w:szCs w:val="21"/>
                <w:highlight w:val="none"/>
              </w:rPr>
            </w:pPr>
            <w:r>
              <w:rPr>
                <w:rFonts w:hint="eastAsia" w:ascii="宋体" w:hAnsi="宋体" w:cs="宋体"/>
                <w:bCs/>
                <w:szCs w:val="21"/>
                <w:highlight w:val="none"/>
              </w:rPr>
              <w:t>本资产管理计划属于【R4（中高）】风险投资品种，适合风险识别、评估、承受能力为【C4（积极）、C5（激进）】的普通合格投资者及专业投资者(本产品不接受风险识别能力和风险承受能力低于产品风险等级的投资者认购）</w:t>
            </w:r>
          </w:p>
        </w:tc>
      </w:tr>
      <w:tr w14:paraId="34548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F9AD771">
            <w:pPr>
              <w:adjustRightInd w:val="0"/>
              <w:snapToGrid w:val="0"/>
              <w:jc w:val="center"/>
              <w:rPr>
                <w:rFonts w:ascii="宋体" w:hAnsi="宋体" w:cs="宋体"/>
                <w:bCs/>
                <w:szCs w:val="21"/>
                <w:highlight w:val="none"/>
              </w:rPr>
            </w:pPr>
            <w:r>
              <w:rPr>
                <w:rFonts w:hint="eastAsia" w:ascii="宋体" w:hAnsi="宋体" w:cs="宋体"/>
                <w:bCs/>
                <w:szCs w:val="21"/>
                <w:highlight w:val="none"/>
              </w:rPr>
              <w:t>投资策略</w:t>
            </w:r>
          </w:p>
        </w:tc>
        <w:tc>
          <w:tcPr>
            <w:tcW w:w="7156" w:type="dxa"/>
            <w:tcBorders>
              <w:top w:val="single" w:color="auto" w:sz="4" w:space="0"/>
              <w:left w:val="single" w:color="auto" w:sz="4" w:space="0"/>
              <w:bottom w:val="single" w:color="auto" w:sz="4" w:space="0"/>
              <w:right w:val="single" w:color="auto" w:sz="4" w:space="0"/>
            </w:tcBorders>
            <w:vAlign w:val="center"/>
          </w:tcPr>
          <w:p w14:paraId="6D224D5F">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基于宏观以及产业逻辑与各频段的量价表现有机结合，寻求以商品期货对冲套利为主，并捕捉确定性较高的中长期投资机会。本策略采用“多品种、多周期、多策略”组合交易策略，根据宏观大势、板块和品种波动以及策略表现等，对各策略配置优化和动态仓位调整，并设置合理的风险控制级别，通过人机结合进行交易优化。本计划专注于商品期货交易，力求在严控风险基础上赚取更高的收益。</w:t>
            </w:r>
          </w:p>
        </w:tc>
      </w:tr>
      <w:tr w14:paraId="6E2D1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439F4AD">
            <w:pPr>
              <w:adjustRightInd w:val="0"/>
              <w:snapToGrid w:val="0"/>
              <w:jc w:val="center"/>
              <w:rPr>
                <w:rFonts w:ascii="宋体" w:hAnsi="宋体" w:cs="宋体"/>
                <w:bCs/>
                <w:szCs w:val="21"/>
                <w:highlight w:val="none"/>
              </w:rPr>
            </w:pPr>
            <w:r>
              <w:rPr>
                <w:rFonts w:hint="eastAsia" w:ascii="宋体" w:hAnsi="宋体" w:cs="宋体"/>
                <w:bCs/>
                <w:szCs w:val="21"/>
                <w:highlight w:val="none"/>
              </w:rPr>
              <w:t>投资目标</w:t>
            </w:r>
          </w:p>
        </w:tc>
        <w:tc>
          <w:tcPr>
            <w:tcW w:w="7156" w:type="dxa"/>
            <w:tcBorders>
              <w:top w:val="single" w:color="auto" w:sz="4" w:space="0"/>
              <w:left w:val="single" w:color="auto" w:sz="4" w:space="0"/>
              <w:bottom w:val="single" w:color="auto" w:sz="4" w:space="0"/>
              <w:right w:val="single" w:color="auto" w:sz="4" w:space="0"/>
            </w:tcBorders>
            <w:vAlign w:val="center"/>
          </w:tcPr>
          <w:p w14:paraId="25893EF2">
            <w:pPr>
              <w:adjustRightInd w:val="0"/>
              <w:snapToGrid w:val="0"/>
              <w:jc w:val="center"/>
              <w:rPr>
                <w:rFonts w:ascii="宋体" w:hAnsi="宋体" w:cs="宋体"/>
                <w:bCs/>
                <w:szCs w:val="21"/>
                <w:highlight w:val="none"/>
              </w:rPr>
            </w:pPr>
            <w:r>
              <w:rPr>
                <w:rFonts w:hint="eastAsia" w:ascii="宋体" w:hAnsi="宋体" w:cs="宋体"/>
                <w:bCs/>
                <w:szCs w:val="21"/>
                <w:highlight w:val="none"/>
              </w:rPr>
              <w:t>在风险适度可控前提下，追求稳定、长期的适度收益。</w:t>
            </w:r>
          </w:p>
        </w:tc>
      </w:tr>
      <w:tr w14:paraId="7D165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6D88FBE">
            <w:pPr>
              <w:adjustRightInd w:val="0"/>
              <w:snapToGrid w:val="0"/>
              <w:jc w:val="center"/>
              <w:rPr>
                <w:rFonts w:ascii="宋体" w:hAnsi="宋体" w:cs="宋体"/>
                <w:bCs/>
                <w:szCs w:val="21"/>
                <w:highlight w:val="none"/>
              </w:rPr>
            </w:pPr>
            <w:r>
              <w:rPr>
                <w:rFonts w:hint="eastAsia" w:ascii="宋体" w:hAnsi="宋体" w:cs="宋体"/>
                <w:bCs/>
                <w:szCs w:val="21"/>
                <w:highlight w:val="none"/>
              </w:rPr>
              <w:t>存续期</w:t>
            </w:r>
          </w:p>
        </w:tc>
        <w:tc>
          <w:tcPr>
            <w:tcW w:w="7156" w:type="dxa"/>
            <w:tcBorders>
              <w:top w:val="single" w:color="auto" w:sz="4" w:space="0"/>
              <w:left w:val="single" w:color="auto" w:sz="4" w:space="0"/>
              <w:bottom w:val="single" w:color="auto" w:sz="4" w:space="0"/>
              <w:right w:val="single" w:color="auto" w:sz="4" w:space="0"/>
            </w:tcBorders>
            <w:vAlign w:val="center"/>
          </w:tcPr>
          <w:p w14:paraId="78DA75B3">
            <w:pPr>
              <w:adjustRightInd w:val="0"/>
              <w:snapToGrid w:val="0"/>
              <w:jc w:val="center"/>
              <w:rPr>
                <w:rFonts w:ascii="宋体" w:hAnsi="宋体" w:cs="宋体"/>
                <w:bCs/>
                <w:szCs w:val="21"/>
                <w:highlight w:val="none"/>
              </w:rPr>
            </w:pPr>
            <w:r>
              <w:rPr>
                <w:rFonts w:hint="eastAsia" w:ascii="宋体" w:hAnsi="宋体" w:cs="宋体"/>
                <w:bCs/>
                <w:szCs w:val="21"/>
                <w:highlight w:val="none"/>
              </w:rPr>
              <w:t>10年</w:t>
            </w:r>
          </w:p>
        </w:tc>
      </w:tr>
      <w:tr w14:paraId="3F949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43EB83C">
            <w:pPr>
              <w:adjustRightInd w:val="0"/>
              <w:snapToGrid w:val="0"/>
              <w:jc w:val="center"/>
              <w:rPr>
                <w:rFonts w:ascii="宋体" w:hAnsi="宋体" w:cs="宋体"/>
                <w:bCs/>
                <w:szCs w:val="21"/>
                <w:highlight w:val="none"/>
              </w:rPr>
            </w:pPr>
            <w:r>
              <w:rPr>
                <w:rFonts w:hint="eastAsia" w:ascii="宋体" w:hAnsi="宋体" w:cs="宋体"/>
                <w:bCs/>
                <w:szCs w:val="21"/>
                <w:highlight w:val="none"/>
              </w:rPr>
              <w:t>募集期间</w:t>
            </w:r>
          </w:p>
        </w:tc>
        <w:tc>
          <w:tcPr>
            <w:tcW w:w="7156" w:type="dxa"/>
            <w:tcBorders>
              <w:top w:val="single" w:color="auto" w:sz="4" w:space="0"/>
              <w:left w:val="single" w:color="auto" w:sz="4" w:space="0"/>
              <w:bottom w:val="single" w:color="auto" w:sz="4" w:space="0"/>
              <w:right w:val="single" w:color="auto" w:sz="4" w:space="0"/>
            </w:tcBorders>
            <w:vAlign w:val="center"/>
          </w:tcPr>
          <w:p w14:paraId="73CD8D04">
            <w:pPr>
              <w:adjustRightInd w:val="0"/>
              <w:snapToGrid w:val="0"/>
              <w:jc w:val="center"/>
              <w:rPr>
                <w:rFonts w:ascii="宋体" w:hAnsi="宋体" w:cs="宋体"/>
                <w:bCs/>
                <w:szCs w:val="21"/>
                <w:highlight w:val="none"/>
              </w:rPr>
            </w:pPr>
            <w:r>
              <w:rPr>
                <w:rFonts w:hint="eastAsia" w:ascii="宋体" w:hAnsi="宋体" w:cs="宋体"/>
                <w:bCs/>
                <w:szCs w:val="21"/>
                <w:highlight w:val="none"/>
              </w:rPr>
              <w:t>自份额发售之日起60天内</w:t>
            </w:r>
          </w:p>
        </w:tc>
      </w:tr>
      <w:tr w14:paraId="1FE1B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92D440E">
            <w:pPr>
              <w:adjustRightInd w:val="0"/>
              <w:snapToGrid w:val="0"/>
              <w:jc w:val="center"/>
              <w:rPr>
                <w:rFonts w:ascii="宋体" w:hAnsi="宋体" w:cs="宋体"/>
                <w:bCs/>
                <w:szCs w:val="21"/>
                <w:highlight w:val="none"/>
              </w:rPr>
            </w:pPr>
            <w:r>
              <w:rPr>
                <w:rFonts w:hint="eastAsia" w:ascii="宋体" w:hAnsi="宋体" w:cs="宋体"/>
                <w:bCs/>
                <w:szCs w:val="21"/>
                <w:highlight w:val="none"/>
              </w:rPr>
              <w:t>封闭期</w:t>
            </w:r>
          </w:p>
        </w:tc>
        <w:tc>
          <w:tcPr>
            <w:tcW w:w="7156" w:type="dxa"/>
            <w:tcBorders>
              <w:top w:val="single" w:color="auto" w:sz="4" w:space="0"/>
              <w:left w:val="single" w:color="auto" w:sz="4" w:space="0"/>
              <w:bottom w:val="single" w:color="auto" w:sz="4" w:space="0"/>
              <w:right w:val="single" w:color="auto" w:sz="4" w:space="0"/>
            </w:tcBorders>
            <w:vAlign w:val="center"/>
          </w:tcPr>
          <w:p w14:paraId="2E5D692B">
            <w:pPr>
              <w:adjustRightInd w:val="0"/>
              <w:snapToGrid w:val="0"/>
              <w:jc w:val="left"/>
              <w:rPr>
                <w:rFonts w:ascii="宋体" w:hAnsi="宋体" w:cs="宋体"/>
                <w:bCs/>
                <w:szCs w:val="21"/>
                <w:highlight w:val="none"/>
              </w:rPr>
            </w:pPr>
            <w:r>
              <w:rPr>
                <w:rFonts w:ascii="宋体" w:hAnsi="宋体" w:cs="宋体"/>
                <w:bCs/>
                <w:szCs w:val="21"/>
                <w:highlight w:val="none"/>
              </w:rPr>
              <w:t>份额锁定</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个月</w:t>
            </w:r>
            <w:r>
              <w:rPr>
                <w:rFonts w:hint="eastAsia" w:ascii="宋体" w:hAnsi="宋体" w:cs="宋体"/>
                <w:bCs/>
                <w:szCs w:val="21"/>
                <w:highlight w:val="none"/>
              </w:rPr>
              <w:t>（每个投资人单独计算封闭期，以该投资人申购/认购日期计算）</w:t>
            </w:r>
          </w:p>
        </w:tc>
      </w:tr>
      <w:tr w14:paraId="01544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5FD9C79">
            <w:pPr>
              <w:adjustRightInd w:val="0"/>
              <w:snapToGrid w:val="0"/>
              <w:jc w:val="center"/>
              <w:rPr>
                <w:rFonts w:ascii="宋体" w:hAnsi="宋体" w:cs="宋体"/>
                <w:bCs/>
                <w:szCs w:val="21"/>
                <w:highlight w:val="none"/>
              </w:rPr>
            </w:pPr>
            <w:r>
              <w:rPr>
                <w:rFonts w:hint="eastAsia" w:ascii="宋体" w:hAnsi="宋体" w:cs="宋体"/>
                <w:bCs/>
                <w:szCs w:val="21"/>
                <w:highlight w:val="none"/>
              </w:rPr>
              <w:t>基金开放日</w:t>
            </w:r>
          </w:p>
        </w:tc>
        <w:tc>
          <w:tcPr>
            <w:tcW w:w="7156" w:type="dxa"/>
            <w:tcBorders>
              <w:top w:val="single" w:color="auto" w:sz="4" w:space="0"/>
              <w:left w:val="single" w:color="auto" w:sz="4" w:space="0"/>
              <w:bottom w:val="single" w:color="auto" w:sz="4" w:space="0"/>
              <w:right w:val="single" w:color="auto" w:sz="4" w:space="0"/>
            </w:tcBorders>
            <w:vAlign w:val="center"/>
          </w:tcPr>
          <w:p w14:paraId="57F5C3D2">
            <w:pPr>
              <w:adjustRightInd w:val="0"/>
              <w:snapToGrid w:val="0"/>
              <w:jc w:val="center"/>
              <w:rPr>
                <w:rFonts w:ascii="宋体" w:hAnsi="宋体" w:cs="宋体"/>
                <w:bCs/>
                <w:szCs w:val="21"/>
                <w:highlight w:val="none"/>
              </w:rPr>
            </w:pPr>
            <w:r>
              <w:rPr>
                <w:rFonts w:hint="eastAsia" w:ascii="宋体" w:hAnsi="宋体" w:cs="宋体"/>
                <w:bCs/>
                <w:szCs w:val="21"/>
                <w:highlight w:val="none"/>
              </w:rPr>
              <w:t>产品成立后开放日为每</w:t>
            </w:r>
            <w:r>
              <w:rPr>
                <w:rFonts w:hint="eastAsia" w:ascii="宋体" w:hAnsi="宋体" w:cs="宋体"/>
                <w:bCs/>
                <w:szCs w:val="21"/>
                <w:highlight w:val="none"/>
                <w:lang w:val="en-US" w:eastAsia="zh-CN"/>
              </w:rPr>
              <w:t>周二</w:t>
            </w:r>
            <w:r>
              <w:rPr>
                <w:rFonts w:hint="eastAsia" w:ascii="宋体" w:hAnsi="宋体" w:cs="宋体"/>
                <w:bCs/>
                <w:szCs w:val="21"/>
                <w:highlight w:val="none"/>
              </w:rPr>
              <w:t>（如遇节假日则顺延至下一个交易日）</w:t>
            </w:r>
          </w:p>
        </w:tc>
      </w:tr>
      <w:tr w14:paraId="16732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415DAE1">
            <w:pPr>
              <w:adjustRightInd w:val="0"/>
              <w:snapToGrid w:val="0"/>
              <w:jc w:val="center"/>
              <w:rPr>
                <w:rFonts w:ascii="宋体" w:hAnsi="宋体" w:cs="宋体"/>
                <w:bCs/>
                <w:szCs w:val="21"/>
                <w:highlight w:val="none"/>
              </w:rPr>
            </w:pPr>
            <w:r>
              <w:rPr>
                <w:rFonts w:hint="eastAsia" w:ascii="宋体" w:hAnsi="宋体" w:cs="宋体"/>
                <w:bCs/>
                <w:szCs w:val="21"/>
                <w:highlight w:val="none"/>
              </w:rPr>
              <w:t>预期募集规模</w:t>
            </w:r>
          </w:p>
        </w:tc>
        <w:tc>
          <w:tcPr>
            <w:tcW w:w="7156" w:type="dxa"/>
            <w:tcBorders>
              <w:top w:val="single" w:color="auto" w:sz="4" w:space="0"/>
              <w:left w:val="single" w:color="auto" w:sz="4" w:space="0"/>
              <w:bottom w:val="single" w:color="auto" w:sz="4" w:space="0"/>
              <w:right w:val="single" w:color="auto" w:sz="4" w:space="0"/>
            </w:tcBorders>
            <w:vAlign w:val="center"/>
          </w:tcPr>
          <w:p w14:paraId="4BA7AF96">
            <w:pPr>
              <w:adjustRightInd w:val="0"/>
              <w:snapToGrid w:val="0"/>
              <w:jc w:val="center"/>
              <w:rPr>
                <w:rFonts w:ascii="宋体" w:hAnsi="宋体" w:cs="宋体"/>
                <w:bCs/>
                <w:szCs w:val="21"/>
                <w:highlight w:val="none"/>
              </w:rPr>
            </w:pPr>
            <w:r>
              <w:rPr>
                <w:rFonts w:hint="eastAsia" w:ascii="宋体" w:hAnsi="宋体" w:cs="宋体"/>
                <w:bCs/>
                <w:szCs w:val="21"/>
                <w:highlight w:val="none"/>
              </w:rPr>
              <w:t>1000万</w:t>
            </w:r>
          </w:p>
        </w:tc>
      </w:tr>
      <w:tr w14:paraId="08EC6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48953543">
            <w:pPr>
              <w:adjustRightInd w:val="0"/>
              <w:snapToGrid w:val="0"/>
              <w:jc w:val="center"/>
              <w:rPr>
                <w:rFonts w:ascii="宋体" w:hAnsi="宋体" w:cs="宋体"/>
                <w:bCs/>
                <w:szCs w:val="21"/>
                <w:highlight w:val="none"/>
              </w:rPr>
            </w:pPr>
            <w:r>
              <w:rPr>
                <w:rFonts w:hint="eastAsia" w:ascii="宋体" w:hAnsi="宋体" w:cs="宋体"/>
                <w:bCs/>
                <w:szCs w:val="21"/>
                <w:highlight w:val="none"/>
              </w:rPr>
              <w:t>是否分级</w:t>
            </w:r>
          </w:p>
          <w:p w14:paraId="29BFB420">
            <w:pPr>
              <w:adjustRightInd w:val="0"/>
              <w:snapToGrid w:val="0"/>
              <w:jc w:val="center"/>
              <w:rPr>
                <w:rFonts w:ascii="宋体" w:hAnsi="宋体" w:cs="宋体"/>
                <w:bCs/>
                <w:szCs w:val="21"/>
                <w:highlight w:val="none"/>
              </w:rPr>
            </w:pPr>
            <w:r>
              <w:rPr>
                <w:rFonts w:hint="eastAsia" w:ascii="宋体" w:hAnsi="宋体" w:cs="宋体"/>
                <w:bCs/>
                <w:szCs w:val="21"/>
                <w:highlight w:val="none"/>
              </w:rPr>
              <w:t>（结构化产品）</w:t>
            </w:r>
          </w:p>
        </w:tc>
        <w:tc>
          <w:tcPr>
            <w:tcW w:w="7156" w:type="dxa"/>
            <w:tcBorders>
              <w:top w:val="single" w:color="auto" w:sz="4" w:space="0"/>
              <w:left w:val="single" w:color="auto" w:sz="4" w:space="0"/>
              <w:bottom w:val="single" w:color="auto" w:sz="4" w:space="0"/>
              <w:right w:val="single" w:color="auto" w:sz="4" w:space="0"/>
            </w:tcBorders>
            <w:vAlign w:val="center"/>
          </w:tcPr>
          <w:p w14:paraId="5F416AD2">
            <w:pPr>
              <w:adjustRightInd w:val="0"/>
              <w:snapToGrid w:val="0"/>
              <w:jc w:val="center"/>
              <w:rPr>
                <w:rFonts w:ascii="宋体" w:hAnsi="宋体" w:cs="宋体"/>
                <w:bCs/>
                <w:szCs w:val="21"/>
                <w:highlight w:val="none"/>
              </w:rPr>
            </w:pPr>
            <w:r>
              <w:rPr>
                <w:rFonts w:hint="eastAsia" w:ascii="宋体" w:hAnsi="宋体" w:cs="宋体"/>
                <w:bCs/>
                <w:szCs w:val="21"/>
                <w:highlight w:val="none"/>
              </w:rPr>
              <w:t>否</w:t>
            </w:r>
          </w:p>
        </w:tc>
      </w:tr>
      <w:tr w14:paraId="21567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8CB0112">
            <w:pPr>
              <w:adjustRightInd w:val="0"/>
              <w:snapToGrid w:val="0"/>
              <w:jc w:val="center"/>
              <w:rPr>
                <w:rFonts w:ascii="宋体" w:hAnsi="宋体" w:cs="宋体"/>
                <w:bCs/>
                <w:szCs w:val="21"/>
                <w:highlight w:val="none"/>
              </w:rPr>
            </w:pPr>
            <w:r>
              <w:rPr>
                <w:rFonts w:hint="eastAsia" w:ascii="宋体" w:hAnsi="宋体" w:cs="宋体"/>
                <w:bCs/>
                <w:szCs w:val="21"/>
                <w:highlight w:val="none"/>
              </w:rPr>
              <w:t>投资范围</w:t>
            </w:r>
          </w:p>
        </w:tc>
        <w:tc>
          <w:tcPr>
            <w:tcW w:w="7156" w:type="dxa"/>
            <w:tcBorders>
              <w:top w:val="single" w:color="auto" w:sz="4" w:space="0"/>
              <w:left w:val="single" w:color="auto" w:sz="4" w:space="0"/>
              <w:bottom w:val="single" w:color="auto" w:sz="4" w:space="0"/>
              <w:right w:val="single" w:color="auto" w:sz="4" w:space="0"/>
            </w:tcBorders>
            <w:vAlign w:val="center"/>
          </w:tcPr>
          <w:p w14:paraId="71940D8C">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本计划的投资范围包括：（1）商品及金融衍生品类：包括证券交易所及期货交易所上市的期权及期货；</w:t>
            </w:r>
          </w:p>
          <w:p w14:paraId="3418EFE6">
            <w:pPr>
              <w:adjustRightInd w:val="0"/>
              <w:snapToGrid w:val="0"/>
              <w:jc w:val="left"/>
              <w:rPr>
                <w:rFonts w:hint="eastAsia" w:ascii="宋体" w:hAnsi="宋体" w:eastAsia="宋体" w:cs="宋体"/>
                <w:bCs/>
                <w:szCs w:val="21"/>
                <w:highlight w:val="none"/>
                <w:lang w:eastAsia="zh-CN"/>
              </w:rPr>
            </w:pPr>
            <w:r>
              <w:rPr>
                <w:rFonts w:hint="eastAsia" w:ascii="宋体" w:hAnsi="宋体" w:cs="宋体"/>
                <w:bCs/>
                <w:szCs w:val="21"/>
                <w:highlight w:val="none"/>
              </w:rPr>
              <w:t>（2）其他类：债券回购、银行理财产品、现金、银行存款（包括活期存款、定期存款、协议存款和其他银行存款）、同业存单、公募基金</w:t>
            </w:r>
            <w:r>
              <w:rPr>
                <w:rFonts w:hint="eastAsia" w:ascii="宋体" w:hAnsi="宋体" w:cs="宋体"/>
                <w:bCs/>
                <w:szCs w:val="21"/>
                <w:highlight w:val="none"/>
                <w:lang w:eastAsia="zh-CN"/>
              </w:rPr>
              <w:t>。</w:t>
            </w:r>
          </w:p>
        </w:tc>
      </w:tr>
      <w:tr w14:paraId="20A54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6CDE722">
            <w:pPr>
              <w:adjustRightInd w:val="0"/>
              <w:snapToGrid w:val="0"/>
              <w:jc w:val="center"/>
              <w:rPr>
                <w:rFonts w:ascii="宋体" w:hAnsi="宋体" w:cs="宋体"/>
                <w:bCs/>
                <w:szCs w:val="21"/>
                <w:highlight w:val="none"/>
              </w:rPr>
            </w:pPr>
            <w:r>
              <w:rPr>
                <w:rFonts w:hint="eastAsia" w:ascii="宋体" w:hAnsi="宋体" w:cs="宋体"/>
                <w:bCs/>
                <w:szCs w:val="21"/>
                <w:highlight w:val="none"/>
              </w:rPr>
              <w:t>投资限制</w:t>
            </w:r>
          </w:p>
        </w:tc>
        <w:tc>
          <w:tcPr>
            <w:tcW w:w="7156" w:type="dxa"/>
            <w:tcBorders>
              <w:top w:val="single" w:color="auto" w:sz="4" w:space="0"/>
              <w:left w:val="single" w:color="auto" w:sz="4" w:space="0"/>
              <w:bottom w:val="single" w:color="auto" w:sz="4" w:space="0"/>
              <w:right w:val="single" w:color="auto" w:sz="4" w:space="0"/>
            </w:tcBorders>
            <w:vAlign w:val="center"/>
          </w:tcPr>
          <w:p w14:paraId="6FD3C02C">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1、投资于商品及金融衍生品的持仓合约价值的比例（期货依合约价值、期权依合约面值，非轧差计算）绝对值合计不低于资产管理计划总资产80%，且衍生品账户权益超过资产管理计划总资产20%；</w:t>
            </w:r>
          </w:p>
          <w:p w14:paraId="074560AF">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2、本计划的计划资产总值占计划资产净值的比例不得超过200%。</w:t>
            </w:r>
          </w:p>
          <w:p w14:paraId="30371A89">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3、本计划投资于同一资产的资金，不得超过计划资产净值的25%；银行活期存款除外。同一资产的认定及计算方式：同业存单、各类资产管理产品、债券逆回购按单只证券或产品市值进行计算；</w:t>
            </w:r>
          </w:p>
          <w:p w14:paraId="4E7FA19D">
            <w:pPr>
              <w:adjustRightInd w:val="0"/>
              <w:snapToGrid w:val="0"/>
              <w:jc w:val="left"/>
              <w:rPr>
                <w:rFonts w:ascii="宋体" w:hAnsi="宋体" w:cs="宋体"/>
                <w:bCs/>
                <w:szCs w:val="21"/>
                <w:highlight w:val="none"/>
              </w:rPr>
            </w:pPr>
            <w:r>
              <w:rPr>
                <w:rFonts w:hint="eastAsia" w:ascii="宋体" w:hAnsi="宋体" w:cs="宋体"/>
                <w:bCs/>
                <w:szCs w:val="21"/>
                <w:highlight w:val="none"/>
              </w:rPr>
              <w:t>4、本计划管理人管理的全部集合资产管理计划投资于同一资产的资金，不得超过该资产的25%。银行活期存款除外</w:t>
            </w:r>
            <w:bookmarkStart w:id="0" w:name="_GoBack"/>
            <w:bookmarkEnd w:id="0"/>
            <w:r>
              <w:rPr>
                <w:rFonts w:hint="eastAsia" w:ascii="宋体" w:hAnsi="宋体" w:cs="宋体"/>
                <w:bCs/>
                <w:szCs w:val="21"/>
                <w:highlight w:val="none"/>
              </w:rPr>
              <w:t>。</w:t>
            </w:r>
          </w:p>
        </w:tc>
      </w:tr>
      <w:tr w14:paraId="4BB67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827F8D2">
            <w:pPr>
              <w:adjustRightInd w:val="0"/>
              <w:snapToGrid w:val="0"/>
              <w:jc w:val="center"/>
              <w:rPr>
                <w:rFonts w:ascii="宋体" w:hAnsi="宋体" w:cs="宋体"/>
                <w:bCs/>
                <w:szCs w:val="21"/>
                <w:highlight w:val="none"/>
              </w:rPr>
            </w:pPr>
            <w:r>
              <w:rPr>
                <w:rFonts w:hint="eastAsia" w:ascii="宋体" w:hAnsi="宋体" w:cs="宋体"/>
                <w:bCs/>
                <w:szCs w:val="21"/>
                <w:highlight w:val="none"/>
              </w:rPr>
              <w:t>产品成立条件</w:t>
            </w:r>
          </w:p>
        </w:tc>
        <w:tc>
          <w:tcPr>
            <w:tcW w:w="7156" w:type="dxa"/>
            <w:tcBorders>
              <w:top w:val="single" w:color="auto" w:sz="4" w:space="0"/>
              <w:left w:val="single" w:color="auto" w:sz="4" w:space="0"/>
              <w:bottom w:val="single" w:color="auto" w:sz="4" w:space="0"/>
              <w:right w:val="single" w:color="auto" w:sz="4" w:space="0"/>
            </w:tcBorders>
            <w:vAlign w:val="center"/>
          </w:tcPr>
          <w:p w14:paraId="0CF25046">
            <w:pPr>
              <w:adjustRightInd w:val="0"/>
              <w:snapToGrid w:val="0"/>
              <w:jc w:val="left"/>
              <w:rPr>
                <w:rFonts w:ascii="宋体" w:hAnsi="宋体" w:cs="宋体"/>
                <w:bCs/>
                <w:szCs w:val="21"/>
                <w:highlight w:val="none"/>
              </w:rPr>
            </w:pPr>
            <w:r>
              <w:rPr>
                <w:rFonts w:hint="eastAsia" w:ascii="宋体" w:hAnsi="宋体" w:cs="宋体"/>
                <w:bCs/>
                <w:szCs w:val="21"/>
                <w:highlight w:val="none"/>
              </w:rPr>
              <w:t>1、本资产管理计划的初始募集规模不得低于1000 万元。</w:t>
            </w:r>
          </w:p>
          <w:p w14:paraId="3B9AB7E3">
            <w:pPr>
              <w:adjustRightInd w:val="0"/>
              <w:snapToGrid w:val="0"/>
              <w:jc w:val="left"/>
              <w:rPr>
                <w:rFonts w:ascii="宋体" w:hAnsi="宋体" w:cs="宋体"/>
                <w:kern w:val="0"/>
                <w:szCs w:val="21"/>
                <w:highlight w:val="none"/>
              </w:rPr>
            </w:pPr>
            <w:r>
              <w:rPr>
                <w:rFonts w:hint="eastAsia" w:ascii="宋体" w:hAnsi="宋体" w:cs="宋体"/>
                <w:bCs/>
                <w:szCs w:val="21"/>
                <w:highlight w:val="none"/>
              </w:rPr>
              <w:t>2、本集合资产管理计划的投资者人数不少于二人，不得超过二百人。</w:t>
            </w:r>
          </w:p>
        </w:tc>
      </w:tr>
      <w:tr w14:paraId="1462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CC5E40D">
            <w:pPr>
              <w:adjustRightInd w:val="0"/>
              <w:snapToGrid w:val="0"/>
              <w:jc w:val="center"/>
              <w:rPr>
                <w:rFonts w:ascii="宋体" w:hAnsi="宋体" w:cs="宋体"/>
                <w:bCs/>
                <w:szCs w:val="21"/>
                <w:highlight w:val="none"/>
              </w:rPr>
            </w:pPr>
            <w:r>
              <w:rPr>
                <w:rFonts w:hint="eastAsia" w:ascii="宋体" w:hAnsi="宋体" w:cs="宋体"/>
                <w:bCs/>
                <w:szCs w:val="21"/>
                <w:highlight w:val="none"/>
              </w:rPr>
              <w:t>参与费用</w:t>
            </w:r>
          </w:p>
        </w:tc>
        <w:tc>
          <w:tcPr>
            <w:tcW w:w="7156" w:type="dxa"/>
            <w:tcBorders>
              <w:top w:val="single" w:color="auto" w:sz="4" w:space="0"/>
              <w:left w:val="single" w:color="auto" w:sz="4" w:space="0"/>
              <w:bottom w:val="single" w:color="auto" w:sz="4" w:space="0"/>
              <w:right w:val="single" w:color="auto" w:sz="4" w:space="0"/>
            </w:tcBorders>
            <w:vAlign w:val="center"/>
          </w:tcPr>
          <w:p w14:paraId="1D29D916">
            <w:pPr>
              <w:adjustRightInd w:val="0"/>
              <w:snapToGrid w:val="0"/>
              <w:jc w:val="center"/>
              <w:rPr>
                <w:rFonts w:ascii="宋体" w:hAnsi="宋体" w:cs="宋体"/>
                <w:bCs/>
                <w:szCs w:val="21"/>
                <w:highlight w:val="none"/>
              </w:rPr>
            </w:pPr>
            <w:r>
              <w:rPr>
                <w:rFonts w:hint="eastAsia" w:ascii="宋体" w:hAnsi="宋体" w:cs="宋体"/>
                <w:bCs/>
                <w:szCs w:val="21"/>
                <w:highlight w:val="none"/>
              </w:rPr>
              <w:t>无</w:t>
            </w:r>
          </w:p>
        </w:tc>
      </w:tr>
      <w:tr w14:paraId="16997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7517181">
            <w:pPr>
              <w:adjustRightInd w:val="0"/>
              <w:snapToGrid w:val="0"/>
              <w:jc w:val="center"/>
              <w:rPr>
                <w:rFonts w:ascii="宋体" w:hAnsi="宋体" w:cs="宋体"/>
                <w:bCs/>
                <w:szCs w:val="21"/>
                <w:highlight w:val="none"/>
              </w:rPr>
            </w:pPr>
            <w:r>
              <w:rPr>
                <w:rFonts w:hint="eastAsia" w:ascii="宋体" w:hAnsi="宋体" w:cs="宋体"/>
                <w:bCs/>
                <w:szCs w:val="21"/>
                <w:highlight w:val="none"/>
              </w:rPr>
              <w:t>退出费用</w:t>
            </w:r>
          </w:p>
        </w:tc>
        <w:tc>
          <w:tcPr>
            <w:tcW w:w="7156" w:type="dxa"/>
            <w:tcBorders>
              <w:top w:val="single" w:color="auto" w:sz="4" w:space="0"/>
              <w:left w:val="single" w:color="auto" w:sz="4" w:space="0"/>
              <w:bottom w:val="single" w:color="auto" w:sz="4" w:space="0"/>
              <w:right w:val="single" w:color="auto" w:sz="4" w:space="0"/>
            </w:tcBorders>
            <w:vAlign w:val="center"/>
          </w:tcPr>
          <w:p w14:paraId="19248070">
            <w:pPr>
              <w:adjustRightInd w:val="0"/>
              <w:snapToGrid w:val="0"/>
              <w:jc w:val="center"/>
              <w:rPr>
                <w:rFonts w:ascii="宋体" w:hAnsi="宋体" w:cs="宋体"/>
                <w:bCs/>
                <w:szCs w:val="21"/>
                <w:highlight w:val="none"/>
              </w:rPr>
            </w:pPr>
            <w:r>
              <w:rPr>
                <w:rFonts w:hint="eastAsia" w:ascii="宋体" w:hAnsi="宋体" w:cs="宋体"/>
                <w:bCs/>
                <w:color w:val="000000"/>
                <w:szCs w:val="21"/>
                <w:highlight w:val="none"/>
              </w:rPr>
              <w:t>无</w:t>
            </w:r>
          </w:p>
        </w:tc>
      </w:tr>
      <w:tr w14:paraId="18B14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53EE5740">
            <w:pPr>
              <w:adjustRightInd w:val="0"/>
              <w:snapToGrid w:val="0"/>
              <w:jc w:val="center"/>
              <w:rPr>
                <w:rFonts w:ascii="宋体" w:hAnsi="宋体" w:cs="宋体"/>
                <w:bCs/>
                <w:szCs w:val="21"/>
                <w:highlight w:val="none"/>
              </w:rPr>
            </w:pPr>
            <w:r>
              <w:rPr>
                <w:rFonts w:hint="eastAsia" w:ascii="宋体" w:hAnsi="宋体" w:cs="宋体"/>
                <w:bCs/>
                <w:szCs w:val="21"/>
                <w:highlight w:val="none"/>
              </w:rPr>
              <w:t>管理费</w:t>
            </w:r>
          </w:p>
        </w:tc>
        <w:tc>
          <w:tcPr>
            <w:tcW w:w="7156" w:type="dxa"/>
            <w:tcBorders>
              <w:top w:val="single" w:color="auto" w:sz="4" w:space="0"/>
              <w:left w:val="single" w:color="auto" w:sz="4" w:space="0"/>
              <w:bottom w:val="single" w:color="auto" w:sz="4" w:space="0"/>
              <w:right w:val="single" w:color="auto" w:sz="4" w:space="0"/>
            </w:tcBorders>
            <w:vAlign w:val="center"/>
          </w:tcPr>
          <w:p w14:paraId="0B8B0151">
            <w:pPr>
              <w:adjustRightInd w:val="0"/>
              <w:snapToGrid w:val="0"/>
              <w:jc w:val="center"/>
              <w:rPr>
                <w:rFonts w:ascii="宋体" w:hAnsi="宋体" w:cs="宋体"/>
                <w:bCs/>
                <w:color w:val="000000"/>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%/年</w:t>
            </w:r>
          </w:p>
        </w:tc>
      </w:tr>
      <w:tr w14:paraId="07001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729A0AB1">
            <w:pPr>
              <w:adjustRightInd w:val="0"/>
              <w:snapToGrid w:val="0"/>
              <w:jc w:val="center"/>
              <w:rPr>
                <w:rFonts w:ascii="宋体" w:hAnsi="宋体" w:cs="宋体"/>
                <w:bCs/>
                <w:szCs w:val="21"/>
                <w:highlight w:val="none"/>
              </w:rPr>
            </w:pPr>
            <w:r>
              <w:rPr>
                <w:rFonts w:hint="eastAsia" w:ascii="宋体" w:hAnsi="宋体" w:cs="宋体"/>
                <w:bCs/>
                <w:szCs w:val="21"/>
                <w:highlight w:val="none"/>
              </w:rPr>
              <w:t>托管费</w:t>
            </w:r>
          </w:p>
        </w:tc>
        <w:tc>
          <w:tcPr>
            <w:tcW w:w="7156" w:type="dxa"/>
            <w:tcBorders>
              <w:top w:val="single" w:color="auto" w:sz="4" w:space="0"/>
              <w:left w:val="single" w:color="auto" w:sz="4" w:space="0"/>
              <w:bottom w:val="single" w:color="auto" w:sz="4" w:space="0"/>
              <w:right w:val="single" w:color="auto" w:sz="4" w:space="0"/>
            </w:tcBorders>
            <w:vAlign w:val="center"/>
          </w:tcPr>
          <w:p w14:paraId="2407AB18">
            <w:pPr>
              <w:adjustRightInd w:val="0"/>
              <w:snapToGrid w:val="0"/>
              <w:jc w:val="center"/>
              <w:rPr>
                <w:rFonts w:ascii="宋体" w:hAnsi="宋体" w:cs="宋体"/>
                <w:bCs/>
                <w:szCs w:val="21"/>
                <w:highlight w:val="none"/>
              </w:rPr>
            </w:pPr>
            <w:r>
              <w:rPr>
                <w:rFonts w:ascii="宋体" w:hAnsi="宋体" w:cs="宋体"/>
                <w:bCs/>
                <w:szCs w:val="21"/>
                <w:highlight w:val="none"/>
              </w:rPr>
              <w:t>0.0</w:t>
            </w:r>
            <w:r>
              <w:rPr>
                <w:rFonts w:hint="eastAsia" w:ascii="宋体" w:hAnsi="宋体" w:cs="宋体"/>
                <w:bCs/>
                <w:szCs w:val="21"/>
                <w:highlight w:val="none"/>
                <w:lang w:val="en-US" w:eastAsia="zh-CN"/>
              </w:rPr>
              <w:t>1</w:t>
            </w:r>
            <w:r>
              <w:rPr>
                <w:rFonts w:hint="eastAsia" w:ascii="宋体" w:hAnsi="宋体" w:cs="宋体"/>
                <w:bCs/>
                <w:szCs w:val="21"/>
                <w:highlight w:val="none"/>
              </w:rPr>
              <w:t>%/年</w:t>
            </w:r>
          </w:p>
        </w:tc>
      </w:tr>
      <w:tr w14:paraId="53103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13C5FF34">
            <w:pPr>
              <w:adjustRightInd w:val="0"/>
              <w:snapToGrid w:val="0"/>
              <w:jc w:val="center"/>
              <w:rPr>
                <w:rFonts w:ascii="宋体" w:hAnsi="宋体" w:cs="宋体"/>
                <w:bCs/>
                <w:szCs w:val="21"/>
                <w:highlight w:val="none"/>
              </w:rPr>
            </w:pPr>
            <w:r>
              <w:rPr>
                <w:rFonts w:hint="eastAsia" w:ascii="宋体" w:hAnsi="宋体" w:cs="宋体"/>
                <w:bCs/>
                <w:szCs w:val="21"/>
                <w:highlight w:val="none"/>
              </w:rPr>
              <w:t>运营服务费</w:t>
            </w:r>
          </w:p>
        </w:tc>
        <w:tc>
          <w:tcPr>
            <w:tcW w:w="7156" w:type="dxa"/>
            <w:tcBorders>
              <w:top w:val="single" w:color="auto" w:sz="4" w:space="0"/>
              <w:left w:val="single" w:color="auto" w:sz="4" w:space="0"/>
              <w:bottom w:val="single" w:color="auto" w:sz="4" w:space="0"/>
              <w:right w:val="single" w:color="auto" w:sz="4" w:space="0"/>
            </w:tcBorders>
            <w:vAlign w:val="center"/>
          </w:tcPr>
          <w:p w14:paraId="525C7060">
            <w:pPr>
              <w:adjustRightInd w:val="0"/>
              <w:snapToGrid w:val="0"/>
              <w:jc w:val="center"/>
              <w:rPr>
                <w:rFonts w:ascii="宋体" w:hAnsi="宋体" w:cs="宋体"/>
                <w:bCs/>
                <w:szCs w:val="21"/>
                <w:highlight w:val="none"/>
              </w:rPr>
            </w:pPr>
            <w:r>
              <w:rPr>
                <w:rFonts w:ascii="宋体" w:hAnsi="宋体" w:cs="宋体"/>
                <w:bCs/>
                <w:szCs w:val="21"/>
                <w:highlight w:val="none"/>
              </w:rPr>
              <w:t>0.0</w:t>
            </w:r>
            <w:r>
              <w:rPr>
                <w:rFonts w:hint="eastAsia" w:ascii="宋体" w:hAnsi="宋体" w:cs="宋体"/>
                <w:bCs/>
                <w:szCs w:val="21"/>
                <w:highlight w:val="none"/>
                <w:lang w:val="en-US" w:eastAsia="zh-CN"/>
              </w:rPr>
              <w:t>15</w:t>
            </w:r>
            <w:r>
              <w:rPr>
                <w:rFonts w:hint="eastAsia" w:ascii="宋体" w:hAnsi="宋体" w:cs="宋体"/>
                <w:bCs/>
                <w:szCs w:val="21"/>
                <w:highlight w:val="none"/>
              </w:rPr>
              <w:t>%/年</w:t>
            </w:r>
          </w:p>
        </w:tc>
      </w:tr>
      <w:tr w14:paraId="790E0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05545F5F">
            <w:pPr>
              <w:adjustRightInd w:val="0"/>
              <w:snapToGrid w:val="0"/>
              <w:jc w:val="center"/>
              <w:rPr>
                <w:rFonts w:ascii="宋体" w:hAnsi="宋体" w:cs="宋体"/>
                <w:bCs/>
                <w:szCs w:val="21"/>
                <w:highlight w:val="none"/>
              </w:rPr>
            </w:pPr>
            <w:r>
              <w:rPr>
                <w:rFonts w:hint="eastAsia" w:ascii="宋体" w:hAnsi="宋体" w:cs="宋体"/>
                <w:bCs/>
                <w:szCs w:val="21"/>
                <w:highlight w:val="none"/>
              </w:rPr>
              <w:t>预警线</w:t>
            </w:r>
          </w:p>
        </w:tc>
        <w:tc>
          <w:tcPr>
            <w:tcW w:w="7156" w:type="dxa"/>
            <w:tcBorders>
              <w:top w:val="single" w:color="auto" w:sz="4" w:space="0"/>
              <w:left w:val="single" w:color="auto" w:sz="4" w:space="0"/>
              <w:bottom w:val="single" w:color="auto" w:sz="4" w:space="0"/>
              <w:right w:val="single" w:color="auto" w:sz="4" w:space="0"/>
            </w:tcBorders>
            <w:vAlign w:val="center"/>
          </w:tcPr>
          <w:p w14:paraId="5A83B693">
            <w:pPr>
              <w:adjustRightInd w:val="0"/>
              <w:snapToGrid w:val="0"/>
              <w:jc w:val="center"/>
              <w:rPr>
                <w:rFonts w:ascii="宋体" w:hAnsi="宋体" w:cs="宋体"/>
                <w:bCs/>
                <w:szCs w:val="21"/>
                <w:highlight w:val="none"/>
              </w:rPr>
            </w:pPr>
            <w:r>
              <w:rPr>
                <w:rFonts w:hint="eastAsia" w:ascii="宋体" w:hAnsi="宋体" w:cs="宋体"/>
                <w:bCs/>
                <w:szCs w:val="21"/>
                <w:highlight w:val="none"/>
              </w:rPr>
              <w:t>份额净值为0.</w:t>
            </w:r>
            <w:r>
              <w:rPr>
                <w:rFonts w:hint="eastAsia" w:ascii="宋体" w:hAnsi="宋体" w:cs="宋体"/>
                <w:bCs/>
                <w:szCs w:val="21"/>
                <w:highlight w:val="none"/>
                <w:lang w:val="en-US" w:eastAsia="zh-CN"/>
              </w:rPr>
              <w:t>7</w:t>
            </w:r>
            <w:r>
              <w:rPr>
                <w:rFonts w:hint="eastAsia" w:ascii="宋体" w:hAnsi="宋体" w:cs="宋体"/>
                <w:bCs/>
                <w:szCs w:val="21"/>
                <w:highlight w:val="none"/>
              </w:rPr>
              <w:t>4</w:t>
            </w:r>
          </w:p>
        </w:tc>
      </w:tr>
      <w:tr w14:paraId="44195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32D2ABED">
            <w:pPr>
              <w:adjustRightInd w:val="0"/>
              <w:snapToGrid w:val="0"/>
              <w:jc w:val="center"/>
              <w:rPr>
                <w:rFonts w:ascii="宋体" w:hAnsi="宋体" w:cs="宋体"/>
                <w:bCs/>
                <w:szCs w:val="21"/>
                <w:highlight w:val="none"/>
              </w:rPr>
            </w:pPr>
            <w:r>
              <w:rPr>
                <w:rFonts w:hint="eastAsia" w:ascii="宋体" w:hAnsi="宋体" w:cs="宋体"/>
                <w:bCs/>
                <w:szCs w:val="21"/>
                <w:highlight w:val="none"/>
              </w:rPr>
              <w:t>清盘线</w:t>
            </w:r>
          </w:p>
        </w:tc>
        <w:tc>
          <w:tcPr>
            <w:tcW w:w="7156" w:type="dxa"/>
            <w:tcBorders>
              <w:top w:val="single" w:color="auto" w:sz="4" w:space="0"/>
              <w:left w:val="single" w:color="auto" w:sz="4" w:space="0"/>
              <w:bottom w:val="single" w:color="auto" w:sz="4" w:space="0"/>
              <w:right w:val="single" w:color="auto" w:sz="4" w:space="0"/>
            </w:tcBorders>
            <w:vAlign w:val="center"/>
          </w:tcPr>
          <w:p w14:paraId="6E3465DF">
            <w:pPr>
              <w:adjustRightInd w:val="0"/>
              <w:snapToGrid w:val="0"/>
              <w:jc w:val="center"/>
              <w:rPr>
                <w:rFonts w:ascii="宋体" w:hAnsi="宋体" w:cs="宋体"/>
                <w:bCs/>
                <w:szCs w:val="21"/>
                <w:highlight w:val="none"/>
              </w:rPr>
            </w:pPr>
            <w:r>
              <w:rPr>
                <w:rFonts w:hint="eastAsia" w:ascii="宋体" w:hAnsi="宋体" w:cs="宋体"/>
                <w:bCs/>
                <w:szCs w:val="21"/>
                <w:highlight w:val="none"/>
              </w:rPr>
              <w:t>份额净值为0.</w:t>
            </w:r>
            <w:r>
              <w:rPr>
                <w:rFonts w:hint="eastAsia" w:ascii="宋体" w:hAnsi="宋体" w:cs="宋体"/>
                <w:bCs/>
                <w:szCs w:val="21"/>
                <w:highlight w:val="none"/>
                <w:lang w:val="en-US" w:eastAsia="zh-CN"/>
              </w:rPr>
              <w:t>7</w:t>
            </w:r>
            <w:r>
              <w:rPr>
                <w:rFonts w:hint="eastAsia" w:ascii="宋体" w:hAnsi="宋体" w:cs="宋体"/>
                <w:bCs/>
                <w:szCs w:val="21"/>
                <w:highlight w:val="none"/>
              </w:rPr>
              <w:t>0</w:t>
            </w:r>
          </w:p>
        </w:tc>
      </w:tr>
      <w:tr w14:paraId="6A2C8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14:paraId="2909E37B">
            <w:pPr>
              <w:adjustRightInd w:val="0"/>
              <w:snapToGrid w:val="0"/>
              <w:jc w:val="center"/>
              <w:rPr>
                <w:rFonts w:ascii="宋体" w:hAnsi="宋体" w:cs="宋体"/>
                <w:bCs/>
                <w:szCs w:val="21"/>
                <w:highlight w:val="none"/>
              </w:rPr>
            </w:pPr>
            <w:r>
              <w:rPr>
                <w:rFonts w:hint="eastAsia" w:ascii="宋体" w:hAnsi="宋体" w:cs="宋体"/>
                <w:bCs/>
                <w:szCs w:val="21"/>
                <w:highlight w:val="none"/>
              </w:rPr>
              <w:t>收益分配</w:t>
            </w:r>
          </w:p>
        </w:tc>
        <w:tc>
          <w:tcPr>
            <w:tcW w:w="7156" w:type="dxa"/>
            <w:tcBorders>
              <w:top w:val="single" w:color="auto" w:sz="4" w:space="0"/>
              <w:left w:val="single" w:color="auto" w:sz="4" w:space="0"/>
              <w:bottom w:val="single" w:color="auto" w:sz="4" w:space="0"/>
              <w:right w:val="single" w:color="auto" w:sz="4" w:space="0"/>
            </w:tcBorders>
            <w:vAlign w:val="center"/>
          </w:tcPr>
          <w:p w14:paraId="77BFB0E0">
            <w:pPr>
              <w:adjustRightInd w:val="0"/>
              <w:snapToGrid w:val="0"/>
              <w:jc w:val="left"/>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业绩报酬：</w:t>
            </w:r>
          </w:p>
          <w:p w14:paraId="70E141CD">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产品收益在</w:t>
            </w:r>
            <w:r>
              <w:rPr>
                <w:rFonts w:hint="eastAsia" w:ascii="宋体" w:hAnsi="宋体" w:cs="宋体"/>
                <w:bCs/>
                <w:szCs w:val="21"/>
                <w:highlight w:val="none"/>
                <w:lang w:val="en-US" w:eastAsia="zh-CN"/>
              </w:rPr>
              <w:t>40</w:t>
            </w:r>
            <w:r>
              <w:rPr>
                <w:rFonts w:hint="eastAsia" w:ascii="宋体" w:hAnsi="宋体" w:cs="宋体"/>
                <w:bCs/>
                <w:szCs w:val="21"/>
                <w:highlight w:val="none"/>
              </w:rPr>
              <w:t>%以下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含40%</w:t>
            </w:r>
            <w:r>
              <w:rPr>
                <w:rFonts w:hint="eastAsia" w:ascii="宋体" w:hAnsi="宋体" w:cs="宋体"/>
                <w:bCs/>
                <w:szCs w:val="21"/>
                <w:highlight w:val="none"/>
                <w:lang w:eastAsia="zh-CN"/>
              </w:rPr>
              <w:t>），</w:t>
            </w:r>
            <w:r>
              <w:rPr>
                <w:rFonts w:hint="eastAsia" w:ascii="宋体" w:hAnsi="宋体" w:cs="宋体"/>
                <w:bCs/>
                <w:szCs w:val="21"/>
                <w:highlight w:val="none"/>
              </w:rPr>
              <w:t>管理人就该区间收益</w:t>
            </w:r>
            <w:r>
              <w:rPr>
                <w:rFonts w:hint="eastAsia" w:ascii="宋体" w:hAnsi="宋体" w:cs="宋体"/>
                <w:bCs/>
                <w:szCs w:val="21"/>
                <w:highlight w:val="none"/>
                <w:lang w:eastAsia="zh-CN"/>
              </w:rPr>
              <w:t>不</w:t>
            </w:r>
            <w:r>
              <w:rPr>
                <w:rFonts w:hint="eastAsia" w:ascii="宋体" w:hAnsi="宋体" w:cs="宋体"/>
                <w:bCs/>
                <w:szCs w:val="21"/>
                <w:highlight w:val="none"/>
              </w:rPr>
              <w:t>提取业绩报酬；</w:t>
            </w:r>
          </w:p>
          <w:p w14:paraId="2AB80FE8">
            <w:pPr>
              <w:adjustRightInd w:val="0"/>
              <w:snapToGrid w:val="0"/>
              <w:jc w:val="left"/>
              <w:rPr>
                <w:rFonts w:hint="eastAsia" w:ascii="宋体" w:hAnsi="宋体" w:cs="宋体"/>
                <w:bCs/>
                <w:szCs w:val="21"/>
                <w:highlight w:val="none"/>
              </w:rPr>
            </w:pPr>
            <w:r>
              <w:rPr>
                <w:rFonts w:hint="eastAsia" w:ascii="宋体" w:hAnsi="宋体" w:cs="宋体"/>
                <w:bCs/>
                <w:szCs w:val="21"/>
                <w:highlight w:val="none"/>
              </w:rPr>
              <w:t>产品收益</w:t>
            </w:r>
            <w:r>
              <w:rPr>
                <w:rFonts w:hint="eastAsia" w:ascii="宋体" w:hAnsi="宋体" w:cs="宋体"/>
                <w:bCs/>
                <w:szCs w:val="21"/>
                <w:highlight w:val="none"/>
                <w:lang w:val="en-US" w:eastAsia="zh-CN"/>
              </w:rPr>
              <w:t>40</w:t>
            </w:r>
            <w:r>
              <w:rPr>
                <w:rFonts w:hint="eastAsia" w:ascii="宋体" w:hAnsi="宋体" w:cs="宋体"/>
                <w:bCs/>
                <w:szCs w:val="21"/>
                <w:highlight w:val="none"/>
              </w:rPr>
              <w:t>%以上</w:t>
            </w:r>
            <w:r>
              <w:rPr>
                <w:rFonts w:hint="eastAsia" w:ascii="宋体" w:hAnsi="宋体" w:cs="宋体"/>
                <w:bCs/>
                <w:szCs w:val="21"/>
                <w:highlight w:val="none"/>
                <w:lang w:eastAsia="zh-CN"/>
              </w:rPr>
              <w:t>，</w:t>
            </w:r>
            <w:r>
              <w:rPr>
                <w:rFonts w:hint="eastAsia" w:ascii="宋体" w:hAnsi="宋体" w:cs="宋体"/>
                <w:bCs/>
                <w:szCs w:val="21"/>
                <w:highlight w:val="none"/>
              </w:rPr>
              <w:t>管理人就该区间收益提取</w:t>
            </w:r>
            <w:r>
              <w:rPr>
                <w:rFonts w:hint="eastAsia" w:ascii="宋体" w:hAnsi="宋体" w:cs="宋体"/>
                <w:bCs/>
                <w:szCs w:val="21"/>
                <w:highlight w:val="none"/>
                <w:lang w:val="en-US" w:eastAsia="zh-CN"/>
              </w:rPr>
              <w:t>2</w:t>
            </w:r>
            <w:r>
              <w:rPr>
                <w:rFonts w:hint="eastAsia" w:ascii="宋体" w:hAnsi="宋体" w:cs="宋体"/>
                <w:bCs/>
                <w:szCs w:val="21"/>
                <w:highlight w:val="none"/>
              </w:rPr>
              <w:t>0%作为业绩报酬；</w:t>
            </w:r>
          </w:p>
          <w:p w14:paraId="0473C181">
            <w:pPr>
              <w:adjustRightInd w:val="0"/>
              <w:snapToGrid w:val="0"/>
              <w:jc w:val="left"/>
              <w:rPr>
                <w:rFonts w:hint="default" w:ascii="宋体" w:hAnsi="宋体" w:eastAsia="宋体" w:cs="宋体"/>
                <w:bCs/>
                <w:szCs w:val="21"/>
                <w:highlight w:val="none"/>
                <w:lang w:val="en-US" w:eastAsia="zh-CN"/>
              </w:rPr>
            </w:pPr>
            <w:r>
              <w:rPr>
                <w:rFonts w:hint="eastAsia" w:ascii="宋体" w:hAnsi="宋体" w:cs="宋体"/>
                <w:bCs/>
                <w:szCs w:val="21"/>
                <w:highlight w:val="none"/>
              </w:rPr>
              <w:t>1、在符合有关计划分红条件的前提下，管理人有权决定是否对计划进行收益分配，收益分配的比例亦由管理人决定，但收益分配频率为</w:t>
            </w:r>
            <w:r>
              <w:rPr>
                <w:rFonts w:hint="eastAsia" w:ascii="宋体" w:hAnsi="宋体" w:cs="宋体"/>
                <w:bCs/>
                <w:szCs w:val="21"/>
                <w:highlight w:val="none"/>
                <w:lang w:val="en-US" w:eastAsia="zh-CN"/>
              </w:rPr>
              <w:t>每6个月不超过一次。</w:t>
            </w:r>
          </w:p>
          <w:p w14:paraId="3CEBE764">
            <w:pPr>
              <w:adjustRightInd w:val="0"/>
              <w:snapToGrid w:val="0"/>
              <w:jc w:val="left"/>
              <w:rPr>
                <w:rFonts w:ascii="宋体" w:hAnsi="宋体" w:cs="宋体"/>
                <w:bCs/>
                <w:szCs w:val="21"/>
                <w:highlight w:val="none"/>
              </w:rPr>
            </w:pPr>
            <w:r>
              <w:rPr>
                <w:rFonts w:hint="eastAsia" w:ascii="宋体" w:hAnsi="宋体" w:cs="宋体"/>
                <w:bCs/>
                <w:szCs w:val="21"/>
                <w:highlight w:val="none"/>
              </w:rPr>
              <w:t>2、本计划的收益分配可以采取现金分红或红利再投资等方式，红利再投资是将现金红利按照计划分红除权日的计划份额净值自动转为计划份额,本计划默认的收益分配方式为红利再投资，若委托人持有份额的时间超过12个月，则可向管理人申请现金分红，具体的分配方式以管理人的分红方案为准；</w:t>
            </w:r>
          </w:p>
          <w:p w14:paraId="65A9DA07">
            <w:pPr>
              <w:adjustRightInd w:val="0"/>
              <w:snapToGrid w:val="0"/>
              <w:jc w:val="left"/>
              <w:rPr>
                <w:rFonts w:ascii="宋体" w:hAnsi="宋体" w:cs="宋体"/>
                <w:bCs/>
                <w:szCs w:val="21"/>
                <w:highlight w:val="none"/>
              </w:rPr>
            </w:pPr>
            <w:r>
              <w:rPr>
                <w:rFonts w:hint="eastAsia" w:ascii="宋体" w:hAnsi="宋体" w:cs="宋体"/>
                <w:bCs/>
                <w:szCs w:val="21"/>
                <w:highlight w:val="none"/>
              </w:rPr>
              <w:t>3、计划收益分配后计划份额净值不能低于面值；即计划收益分配基准日的计划份额净值减去每单位计划份额收益分配金额后不能低于面值；</w:t>
            </w:r>
          </w:p>
          <w:p w14:paraId="7607A9F3">
            <w:pPr>
              <w:adjustRightInd w:val="0"/>
              <w:snapToGrid w:val="0"/>
              <w:jc w:val="left"/>
              <w:rPr>
                <w:rFonts w:ascii="宋体" w:hAnsi="宋体" w:cs="宋体"/>
                <w:bCs/>
                <w:szCs w:val="21"/>
                <w:highlight w:val="none"/>
              </w:rPr>
            </w:pPr>
            <w:r>
              <w:rPr>
                <w:rFonts w:hint="eastAsia" w:ascii="宋体" w:hAnsi="宋体" w:cs="宋体"/>
                <w:bCs/>
                <w:szCs w:val="21"/>
                <w:highlight w:val="none"/>
              </w:rPr>
              <w:t>4、每一计划份额享有同等分配权；</w:t>
            </w:r>
          </w:p>
          <w:p w14:paraId="0CFA3158">
            <w:pPr>
              <w:adjustRightInd w:val="0"/>
              <w:snapToGrid w:val="0"/>
              <w:jc w:val="left"/>
              <w:rPr>
                <w:rFonts w:ascii="宋体" w:hAnsi="宋体" w:cs="宋体"/>
                <w:bCs/>
                <w:szCs w:val="21"/>
                <w:highlight w:val="none"/>
              </w:rPr>
            </w:pPr>
            <w:r>
              <w:rPr>
                <w:rFonts w:hint="eastAsia" w:ascii="宋体" w:hAnsi="宋体" w:cs="宋体"/>
                <w:bCs/>
                <w:szCs w:val="21"/>
                <w:highlight w:val="none"/>
              </w:rPr>
              <w:t>5、收益分配时所发生的银行转账或其他手续费用由委托人自行承担</w:t>
            </w:r>
          </w:p>
          <w:p w14:paraId="1A37ABDB">
            <w:pPr>
              <w:adjustRightInd w:val="0"/>
              <w:snapToGrid w:val="0"/>
              <w:jc w:val="left"/>
              <w:rPr>
                <w:rFonts w:ascii="宋体" w:hAnsi="宋体" w:cs="宋体"/>
                <w:bCs/>
                <w:szCs w:val="21"/>
                <w:highlight w:val="none"/>
              </w:rPr>
            </w:pPr>
            <w:r>
              <w:rPr>
                <w:rFonts w:hint="eastAsia" w:ascii="宋体" w:hAnsi="宋体" w:cs="宋体"/>
                <w:bCs/>
                <w:szCs w:val="21"/>
                <w:highlight w:val="none"/>
              </w:rPr>
              <w:t>6、法律法规或监管机关另有规定的，从其规定。</w:t>
            </w:r>
          </w:p>
        </w:tc>
      </w:tr>
    </w:tbl>
    <w:p w14:paraId="6B9981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TQxODkyM2NmNGFjNmU3OTVjZmZlYWFhMjgyMTUifQ=="/>
  </w:docVars>
  <w:rsids>
    <w:rsidRoot w:val="001E3F27"/>
    <w:rsid w:val="000028B4"/>
    <w:rsid w:val="00012CED"/>
    <w:rsid w:val="00016A9E"/>
    <w:rsid w:val="0002683A"/>
    <w:rsid w:val="000276D8"/>
    <w:rsid w:val="00040945"/>
    <w:rsid w:val="000A6074"/>
    <w:rsid w:val="000A6589"/>
    <w:rsid w:val="000D1524"/>
    <w:rsid w:val="000E15FC"/>
    <w:rsid w:val="000E756F"/>
    <w:rsid w:val="000F4EAF"/>
    <w:rsid w:val="00116C0B"/>
    <w:rsid w:val="001D2311"/>
    <w:rsid w:val="001E3F27"/>
    <w:rsid w:val="001E5E04"/>
    <w:rsid w:val="001F0F9A"/>
    <w:rsid w:val="001F3DB8"/>
    <w:rsid w:val="002271F5"/>
    <w:rsid w:val="00262276"/>
    <w:rsid w:val="0028114E"/>
    <w:rsid w:val="002A0498"/>
    <w:rsid w:val="002B275C"/>
    <w:rsid w:val="002F0040"/>
    <w:rsid w:val="00331F01"/>
    <w:rsid w:val="00346B6B"/>
    <w:rsid w:val="003F1A33"/>
    <w:rsid w:val="003F3C3A"/>
    <w:rsid w:val="0041438D"/>
    <w:rsid w:val="00420139"/>
    <w:rsid w:val="00446AFD"/>
    <w:rsid w:val="00487777"/>
    <w:rsid w:val="00496D57"/>
    <w:rsid w:val="004E5080"/>
    <w:rsid w:val="0052474A"/>
    <w:rsid w:val="00570311"/>
    <w:rsid w:val="005A1B96"/>
    <w:rsid w:val="005C4BE6"/>
    <w:rsid w:val="005E5028"/>
    <w:rsid w:val="006119CC"/>
    <w:rsid w:val="0063665D"/>
    <w:rsid w:val="0069104E"/>
    <w:rsid w:val="006A0E59"/>
    <w:rsid w:val="006A3978"/>
    <w:rsid w:val="006C5FC6"/>
    <w:rsid w:val="006E0E25"/>
    <w:rsid w:val="00712BD8"/>
    <w:rsid w:val="007208F0"/>
    <w:rsid w:val="00730CE9"/>
    <w:rsid w:val="00743BF9"/>
    <w:rsid w:val="00781941"/>
    <w:rsid w:val="0078299C"/>
    <w:rsid w:val="007867B4"/>
    <w:rsid w:val="007D598B"/>
    <w:rsid w:val="007E0E18"/>
    <w:rsid w:val="00811E94"/>
    <w:rsid w:val="00830651"/>
    <w:rsid w:val="00853336"/>
    <w:rsid w:val="00856AE0"/>
    <w:rsid w:val="00875F56"/>
    <w:rsid w:val="00883CB9"/>
    <w:rsid w:val="008A5142"/>
    <w:rsid w:val="008E742F"/>
    <w:rsid w:val="00910171"/>
    <w:rsid w:val="00923162"/>
    <w:rsid w:val="00935FB8"/>
    <w:rsid w:val="00983E4F"/>
    <w:rsid w:val="00A00D0D"/>
    <w:rsid w:val="00A0593E"/>
    <w:rsid w:val="00A10FC4"/>
    <w:rsid w:val="00A17AEA"/>
    <w:rsid w:val="00A33B68"/>
    <w:rsid w:val="00A6165C"/>
    <w:rsid w:val="00AA6303"/>
    <w:rsid w:val="00AE0F61"/>
    <w:rsid w:val="00AF043E"/>
    <w:rsid w:val="00AF1048"/>
    <w:rsid w:val="00B21764"/>
    <w:rsid w:val="00B30A24"/>
    <w:rsid w:val="00B42D10"/>
    <w:rsid w:val="00B71882"/>
    <w:rsid w:val="00B83958"/>
    <w:rsid w:val="00C16159"/>
    <w:rsid w:val="00C257E4"/>
    <w:rsid w:val="00C64D2E"/>
    <w:rsid w:val="00C77E5B"/>
    <w:rsid w:val="00D05E5C"/>
    <w:rsid w:val="00D115E1"/>
    <w:rsid w:val="00D15F29"/>
    <w:rsid w:val="00D30FC6"/>
    <w:rsid w:val="00D81CE0"/>
    <w:rsid w:val="00DA2BDF"/>
    <w:rsid w:val="00DA507B"/>
    <w:rsid w:val="00DB6D1F"/>
    <w:rsid w:val="00DB7ABD"/>
    <w:rsid w:val="00DC15DE"/>
    <w:rsid w:val="00DC55CB"/>
    <w:rsid w:val="00DE0870"/>
    <w:rsid w:val="00DF1F1D"/>
    <w:rsid w:val="00E26D47"/>
    <w:rsid w:val="00E6107A"/>
    <w:rsid w:val="00E77D20"/>
    <w:rsid w:val="00E8019A"/>
    <w:rsid w:val="00EC20CC"/>
    <w:rsid w:val="00ED361C"/>
    <w:rsid w:val="00ED3E77"/>
    <w:rsid w:val="00F23F39"/>
    <w:rsid w:val="00F2559F"/>
    <w:rsid w:val="00F3133D"/>
    <w:rsid w:val="00F32382"/>
    <w:rsid w:val="00F63B6E"/>
    <w:rsid w:val="00FA592A"/>
    <w:rsid w:val="00FA7AE6"/>
    <w:rsid w:val="00FB2F03"/>
    <w:rsid w:val="00FC2ED1"/>
    <w:rsid w:val="00FD1991"/>
    <w:rsid w:val="00FD2A9C"/>
    <w:rsid w:val="00FF2963"/>
    <w:rsid w:val="03B67E12"/>
    <w:rsid w:val="070620A5"/>
    <w:rsid w:val="0A755C84"/>
    <w:rsid w:val="0E05634A"/>
    <w:rsid w:val="0FB97EAE"/>
    <w:rsid w:val="0FF55DFA"/>
    <w:rsid w:val="11366AE6"/>
    <w:rsid w:val="11AC3AD1"/>
    <w:rsid w:val="128C4C27"/>
    <w:rsid w:val="148F625A"/>
    <w:rsid w:val="150377A6"/>
    <w:rsid w:val="159A0645"/>
    <w:rsid w:val="1A503868"/>
    <w:rsid w:val="21712B5E"/>
    <w:rsid w:val="225C2276"/>
    <w:rsid w:val="23D075EC"/>
    <w:rsid w:val="23F549CE"/>
    <w:rsid w:val="2A1469FD"/>
    <w:rsid w:val="2CAD5364"/>
    <w:rsid w:val="2CC22FE2"/>
    <w:rsid w:val="2D26451D"/>
    <w:rsid w:val="2FE855A3"/>
    <w:rsid w:val="31B36DC8"/>
    <w:rsid w:val="33E862B0"/>
    <w:rsid w:val="38BA7701"/>
    <w:rsid w:val="394D08C8"/>
    <w:rsid w:val="3AD85622"/>
    <w:rsid w:val="3B574BD4"/>
    <w:rsid w:val="3B9F463D"/>
    <w:rsid w:val="3D7738BB"/>
    <w:rsid w:val="40071BD9"/>
    <w:rsid w:val="40AE40B7"/>
    <w:rsid w:val="431B7066"/>
    <w:rsid w:val="438C1F5E"/>
    <w:rsid w:val="43D366C6"/>
    <w:rsid w:val="453D2AB0"/>
    <w:rsid w:val="45D05C27"/>
    <w:rsid w:val="49610528"/>
    <w:rsid w:val="498D56D6"/>
    <w:rsid w:val="4A423CAA"/>
    <w:rsid w:val="4B124303"/>
    <w:rsid w:val="4E0E7971"/>
    <w:rsid w:val="506F1A49"/>
    <w:rsid w:val="50FF38A7"/>
    <w:rsid w:val="57397488"/>
    <w:rsid w:val="580F3A7E"/>
    <w:rsid w:val="5C5446FA"/>
    <w:rsid w:val="5E285BE5"/>
    <w:rsid w:val="5F9F5331"/>
    <w:rsid w:val="60F3324E"/>
    <w:rsid w:val="62881C5A"/>
    <w:rsid w:val="63006E3A"/>
    <w:rsid w:val="655C6FBC"/>
    <w:rsid w:val="67464D64"/>
    <w:rsid w:val="6A2115D9"/>
    <w:rsid w:val="6CA21FD3"/>
    <w:rsid w:val="6E9B56C4"/>
    <w:rsid w:val="73FF4863"/>
    <w:rsid w:val="753D694A"/>
    <w:rsid w:val="75873232"/>
    <w:rsid w:val="75C02153"/>
    <w:rsid w:val="794243EB"/>
    <w:rsid w:val="7C344531"/>
    <w:rsid w:val="7E467185"/>
    <w:rsid w:val="7E9F6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3"/>
    <w:autoRedefine/>
    <w:unhideWhenUsed/>
    <w:qFormat/>
    <w:uiPriority w:val="0"/>
    <w:pPr>
      <w:jc w:val="left"/>
    </w:pPr>
  </w:style>
  <w:style w:type="paragraph" w:styleId="6">
    <w:name w:val="Balloon Text"/>
    <w:basedOn w:val="1"/>
    <w:link w:val="25"/>
    <w:autoRedefine/>
    <w:semiHidden/>
    <w:unhideWhenUsed/>
    <w:qFormat/>
    <w:uiPriority w:val="99"/>
    <w:rPr>
      <w:sz w:val="18"/>
      <w:szCs w:val="18"/>
    </w:rPr>
  </w:style>
  <w:style w:type="paragraph" w:styleId="7">
    <w:name w:val="footer"/>
    <w:basedOn w:val="1"/>
    <w:link w:val="22"/>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autoRedefine/>
    <w:qFormat/>
    <w:uiPriority w:val="10"/>
    <w:pPr>
      <w:spacing w:before="240" w:after="60"/>
      <w:jc w:val="center"/>
      <w:outlineLvl w:val="0"/>
    </w:pPr>
    <w:rPr>
      <w:rFonts w:asciiTheme="majorHAnsi" w:hAnsiTheme="majorHAnsi" w:cstheme="majorBidi"/>
      <w:b/>
      <w:bCs/>
      <w:sz w:val="32"/>
      <w:szCs w:val="32"/>
    </w:rPr>
  </w:style>
  <w:style w:type="paragraph" w:styleId="10">
    <w:name w:val="annotation subject"/>
    <w:basedOn w:val="5"/>
    <w:next w:val="5"/>
    <w:link w:val="24"/>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unhideWhenUsed/>
    <w:qFormat/>
    <w:uiPriority w:val="0"/>
    <w:rPr>
      <w:sz w:val="21"/>
      <w:szCs w:val="21"/>
    </w:rPr>
  </w:style>
  <w:style w:type="character" w:customStyle="1" w:styleId="15">
    <w:name w:val="标题 1 Char"/>
    <w:basedOn w:val="13"/>
    <w:link w:val="2"/>
    <w:autoRedefine/>
    <w:qFormat/>
    <w:uiPriority w:val="9"/>
    <w:rPr>
      <w:b/>
      <w:bCs/>
      <w:kern w:val="44"/>
      <w:sz w:val="44"/>
      <w:szCs w:val="44"/>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标题 3 Char"/>
    <w:basedOn w:val="13"/>
    <w:link w:val="4"/>
    <w:autoRedefine/>
    <w:qFormat/>
    <w:uiPriority w:val="9"/>
    <w:rPr>
      <w:b/>
      <w:bCs/>
      <w:sz w:val="32"/>
      <w:szCs w:val="32"/>
    </w:rPr>
  </w:style>
  <w:style w:type="character" w:customStyle="1" w:styleId="18">
    <w:name w:val="标题 Char"/>
    <w:basedOn w:val="13"/>
    <w:link w:val="9"/>
    <w:autoRedefine/>
    <w:qFormat/>
    <w:uiPriority w:val="10"/>
    <w:rPr>
      <w:rFonts w:eastAsia="宋体" w:asciiTheme="majorHAnsi" w:hAnsiTheme="majorHAnsi" w:cstheme="majorBidi"/>
      <w:b/>
      <w:bCs/>
      <w:sz w:val="32"/>
      <w:szCs w:val="32"/>
    </w:r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0">
    <w:name w:val="List Paragraph"/>
    <w:basedOn w:val="1"/>
    <w:autoRedefine/>
    <w:qFormat/>
    <w:uiPriority w:val="34"/>
    <w:pPr>
      <w:ind w:firstLine="420" w:firstLineChars="200"/>
    </w:pPr>
  </w:style>
  <w:style w:type="character" w:customStyle="1" w:styleId="21">
    <w:name w:val="页眉 Char"/>
    <w:basedOn w:val="13"/>
    <w:link w:val="8"/>
    <w:autoRedefine/>
    <w:qFormat/>
    <w:uiPriority w:val="99"/>
    <w:rPr>
      <w:rFonts w:ascii="Times New Roman" w:hAnsi="Times New Roman" w:eastAsia="宋体" w:cs="Times New Roman"/>
      <w:sz w:val="18"/>
      <w:szCs w:val="18"/>
    </w:rPr>
  </w:style>
  <w:style w:type="character" w:customStyle="1" w:styleId="22">
    <w:name w:val="页脚 Char"/>
    <w:basedOn w:val="13"/>
    <w:link w:val="7"/>
    <w:autoRedefine/>
    <w:qFormat/>
    <w:uiPriority w:val="99"/>
    <w:rPr>
      <w:rFonts w:ascii="Times New Roman" w:hAnsi="Times New Roman" w:eastAsia="宋体" w:cs="Times New Roman"/>
      <w:sz w:val="18"/>
      <w:szCs w:val="18"/>
    </w:rPr>
  </w:style>
  <w:style w:type="character" w:customStyle="1" w:styleId="23">
    <w:name w:val="批注文字 Char"/>
    <w:basedOn w:val="13"/>
    <w:link w:val="5"/>
    <w:autoRedefine/>
    <w:qFormat/>
    <w:uiPriority w:val="0"/>
    <w:rPr>
      <w:kern w:val="2"/>
      <w:sz w:val="21"/>
      <w:szCs w:val="24"/>
    </w:rPr>
  </w:style>
  <w:style w:type="character" w:customStyle="1" w:styleId="24">
    <w:name w:val="批注主题 Char"/>
    <w:basedOn w:val="23"/>
    <w:link w:val="10"/>
    <w:autoRedefine/>
    <w:semiHidden/>
    <w:qFormat/>
    <w:uiPriority w:val="99"/>
    <w:rPr>
      <w:b/>
      <w:bCs/>
      <w:kern w:val="2"/>
      <w:sz w:val="21"/>
      <w:szCs w:val="24"/>
    </w:rPr>
  </w:style>
  <w:style w:type="character" w:customStyle="1" w:styleId="25">
    <w:name w:val="批注框文本 Char"/>
    <w:basedOn w:val="13"/>
    <w:link w:val="6"/>
    <w:autoRedefine/>
    <w:semiHidden/>
    <w:qFormat/>
    <w:uiPriority w:val="99"/>
    <w:rPr>
      <w:kern w:val="2"/>
      <w:sz w:val="18"/>
      <w:szCs w:val="18"/>
    </w:rPr>
  </w:style>
  <w:style w:type="paragraph" w:customStyle="1" w:styleId="26">
    <w:name w:val="列出段落1"/>
    <w:basedOn w:val="1"/>
    <w:autoRedefine/>
    <w:qFormat/>
    <w:uiPriority w:val="0"/>
    <w:pPr>
      <w:ind w:firstLine="420" w:firstLineChars="200"/>
    </w:pPr>
    <w:rPr>
      <w:rFonts w:ascii="Calibri" w:hAnsi="Calibri"/>
    </w:rPr>
  </w:style>
  <w:style w:type="paragraph" w:customStyle="1" w:styleId="27">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7109-55AF-4A80-80DE-64E5D167B4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1454</Words>
  <Characters>1515</Characters>
  <Lines>11</Lines>
  <Paragraphs>3</Paragraphs>
  <TotalTime>0</TotalTime>
  <ScaleCrop>false</ScaleCrop>
  <LinksUpToDate>false</LinksUpToDate>
  <CharactersWithSpaces>1516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2020-04-07T02:49:00Z</dcterms:created>
  <dc:creator>陈乐。</dc:creator>
  <cp:lastModifiedBy>小静</cp:lastModifiedBy>
  <dcterms:modified xsi:type="dcterms:W3CDTF">2024-11-29T01:04:50Z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70E62FC0A7F242D3AA79DADC2F982A47</vt:lpwstr>
  </property>
</Properties>
</file>